
<file path=[Content_Types].xml><?xml version="1.0" encoding="utf-8"?>
<Types xmlns="http://schemas.openxmlformats.org/package/2006/content-types">
  <Default Extension="bin" ContentType="application/vnd.openxmlformats-officedocument.oleObject"/>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40A05DA5"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385727">
        <w:rPr>
          <w:rFonts w:cs="Arial"/>
          <w:sz w:val="24"/>
          <w:szCs w:val="24"/>
        </w:rPr>
        <w:t>3</w:t>
      </w:r>
      <w:r w:rsidRPr="00207615">
        <w:rPr>
          <w:rFonts w:cs="Arial"/>
          <w:sz w:val="24"/>
          <w:szCs w:val="24"/>
        </w:rPr>
        <w:tab/>
      </w:r>
      <w:r w:rsidRPr="004E3B8E">
        <w:rPr>
          <w:rFonts w:cs="Arial"/>
          <w:color w:val="000000"/>
          <w:sz w:val="24"/>
          <w:szCs w:val="24"/>
        </w:rPr>
        <w:t>R4-</w:t>
      </w:r>
      <w:r w:rsidR="000412D4">
        <w:rPr>
          <w:rFonts w:cs="Arial"/>
          <w:color w:val="000000"/>
          <w:sz w:val="24"/>
          <w:szCs w:val="24"/>
        </w:rPr>
        <w:t>1</w:t>
      </w:r>
      <w:r w:rsidR="00F131EA">
        <w:rPr>
          <w:rFonts w:cs="Arial"/>
          <w:color w:val="000000"/>
          <w:sz w:val="24"/>
          <w:szCs w:val="24"/>
        </w:rPr>
        <w:t>9</w:t>
      </w:r>
      <w:r w:rsidR="00804DAC">
        <w:rPr>
          <w:rFonts w:cs="Arial"/>
          <w:color w:val="000000"/>
          <w:sz w:val="24"/>
          <w:szCs w:val="24"/>
        </w:rPr>
        <w:t>1</w:t>
      </w:r>
      <w:r w:rsidR="00D37A6C">
        <w:rPr>
          <w:rFonts w:cs="Arial"/>
          <w:color w:val="000000"/>
          <w:sz w:val="24"/>
          <w:szCs w:val="24"/>
        </w:rPr>
        <w:t>5183</w:t>
      </w:r>
      <w:bookmarkStart w:id="0" w:name="_GoBack"/>
      <w:bookmarkEnd w:id="0"/>
    </w:p>
    <w:p w14:paraId="2700B07E" w14:textId="12C61793" w:rsidR="003175E3" w:rsidRPr="00C51EC1" w:rsidRDefault="00385727" w:rsidP="003175E3">
      <w:pPr>
        <w:pStyle w:val="Header"/>
        <w:rPr>
          <w:rFonts w:eastAsia="SimSun"/>
          <w:sz w:val="24"/>
          <w:szCs w:val="24"/>
          <w:lang w:eastAsia="zh-CN"/>
        </w:rPr>
      </w:pPr>
      <w:r>
        <w:rPr>
          <w:rFonts w:eastAsia="SimSun"/>
          <w:sz w:val="24"/>
          <w:szCs w:val="24"/>
          <w:lang w:eastAsia="zh-CN"/>
        </w:rPr>
        <w:t>Reno, NV, USA, 18 – 22 November</w:t>
      </w:r>
      <w:r w:rsidR="003175E3" w:rsidRPr="002E7CB7">
        <w:rPr>
          <w:rFonts w:eastAsia="SimSun"/>
          <w:sz w:val="24"/>
          <w:szCs w:val="24"/>
          <w:lang w:eastAsia="zh-CN"/>
        </w:rPr>
        <w:t>, 201</w:t>
      </w:r>
      <w:r w:rsidR="00353542">
        <w:rPr>
          <w:rFonts w:eastAsia="SimSun"/>
          <w:sz w:val="24"/>
          <w:szCs w:val="24"/>
          <w:lang w:eastAsia="zh-CN"/>
        </w:rPr>
        <w:t>9</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72F7D7BB" w:rsidR="00F43ACD" w:rsidRDefault="00070561" w:rsidP="00070561">
      <w:pPr>
        <w:tabs>
          <w:tab w:val="left" w:pos="1985"/>
        </w:tabs>
        <w:rPr>
          <w:rFonts w:ascii="Arial" w:hAnsi="Arial"/>
          <w:sz w:val="24"/>
          <w:lang w:val="en-US"/>
        </w:rPr>
      </w:pPr>
      <w:r>
        <w:rPr>
          <w:rFonts w:ascii="Arial" w:hAnsi="Arial"/>
          <w:b/>
          <w:sz w:val="24"/>
          <w:lang w:val="en-US"/>
        </w:rPr>
        <w:t>Agenda item:</w:t>
      </w:r>
      <w:r w:rsidR="001A2D86">
        <w:rPr>
          <w:rFonts w:ascii="Arial" w:hAnsi="Arial"/>
          <w:sz w:val="24"/>
          <w:lang w:val="en-US"/>
        </w:rPr>
        <w:tab/>
      </w:r>
      <w:r w:rsidR="000118D9">
        <w:rPr>
          <w:rFonts w:ascii="Arial" w:hAnsi="Arial"/>
          <w:sz w:val="24"/>
          <w:lang w:val="en-US"/>
        </w:rPr>
        <w:t>9</w:t>
      </w:r>
      <w:r w:rsidR="001A2D86">
        <w:rPr>
          <w:rFonts w:ascii="Arial" w:hAnsi="Arial"/>
          <w:sz w:val="24"/>
          <w:lang w:val="en-US"/>
        </w:rPr>
        <w:t>.8.2.5</w:t>
      </w:r>
      <w:r w:rsidR="001A2D86">
        <w:rPr>
          <w:rFonts w:ascii="Arial" w:hAnsi="Arial"/>
          <w:sz w:val="24"/>
          <w:lang w:val="en-US"/>
        </w:rPr>
        <w:tab/>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3D8E49D2"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1A2D86">
        <w:rPr>
          <w:rFonts w:ascii="Arial" w:hAnsi="Arial"/>
          <w:sz w:val="24"/>
          <w:lang w:val="en-US"/>
        </w:rPr>
        <w:t>On gNB requirements for NR positioning</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44EEE2B7" w:rsidR="003A3520" w:rsidRDefault="009046D1" w:rsidP="00017422">
      <w:pPr>
        <w:pStyle w:val="Heading1"/>
        <w:rPr>
          <w:lang w:val="en-US"/>
        </w:rPr>
      </w:pPr>
      <w:r>
        <w:rPr>
          <w:lang w:val="en-US"/>
        </w:rPr>
        <w:t>Introduction</w:t>
      </w:r>
    </w:p>
    <w:p w14:paraId="335F4F0F" w14:textId="3FD439B9" w:rsidR="00385727" w:rsidRDefault="00D2472A" w:rsidP="00804DAC">
      <w:pPr>
        <w:rPr>
          <w:lang w:val="en-US"/>
        </w:rPr>
      </w:pPr>
      <w:r>
        <w:rPr>
          <w:lang w:val="en-US"/>
        </w:rPr>
        <w:t>In RAN4#92</w:t>
      </w:r>
      <w:r w:rsidR="00385727">
        <w:rPr>
          <w:lang w:val="en-US"/>
        </w:rPr>
        <w:t>-Bis</w:t>
      </w:r>
      <w:r>
        <w:rPr>
          <w:lang w:val="en-US"/>
        </w:rPr>
        <w:t xml:space="preserve"> meeting, </w:t>
      </w:r>
      <w:r w:rsidR="00385727">
        <w:rPr>
          <w:lang w:val="en-US"/>
        </w:rPr>
        <w:t>there were extensive discussions on the gNB requirements for NR positioning around the Way Forward in [1] which was noted. From chairman’s meeting minutes, the following were agreed:</w:t>
      </w:r>
    </w:p>
    <w:p w14:paraId="4BB7542F" w14:textId="7DA29DFA" w:rsidR="00385727" w:rsidRDefault="00385727" w:rsidP="00804DAC">
      <w:pPr>
        <w:rPr>
          <w:lang w:val="en-US"/>
        </w:rPr>
      </w:pPr>
      <w:r w:rsidRPr="0074147F">
        <w:rPr>
          <w:noProof/>
          <w:lang w:val="en-US" w:eastAsia="zh-CN"/>
        </w:rPr>
        <mc:AlternateContent>
          <mc:Choice Requires="wps">
            <w:drawing>
              <wp:inline distT="0" distB="0" distL="0" distR="0" wp14:anchorId="62937BC0" wp14:editId="12ACB3ED">
                <wp:extent cx="6078220" cy="1923691"/>
                <wp:effectExtent l="0" t="0" r="17780" b="1968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1923691"/>
                        </a:xfrm>
                        <a:prstGeom prst="rect">
                          <a:avLst/>
                        </a:prstGeom>
                        <a:solidFill>
                          <a:srgbClr val="FFFFFF"/>
                        </a:solidFill>
                        <a:ln w="9525">
                          <a:solidFill>
                            <a:srgbClr val="000000"/>
                          </a:solidFill>
                          <a:miter lim="800000"/>
                          <a:headEnd/>
                          <a:tailEnd/>
                        </a:ln>
                      </wps:spPr>
                      <wps:txbx>
                        <w:txbxContent>
                          <w:p w14:paraId="4080F31C" w14:textId="77777777" w:rsidR="00385727" w:rsidRPr="00385727" w:rsidRDefault="00385727" w:rsidP="00385727">
                            <w:pPr>
                              <w:rPr>
                                <w:b/>
                                <w:u w:val="single"/>
                                <w:lang w:val="en-US" w:eastAsia="zh-CN"/>
                              </w:rPr>
                            </w:pPr>
                            <w:r w:rsidRPr="00385727">
                              <w:rPr>
                                <w:b/>
                                <w:u w:val="single"/>
                                <w:lang w:val="en-US" w:eastAsia="zh-CN"/>
                              </w:rPr>
                              <w:t>Agreements</w:t>
                            </w:r>
                          </w:p>
                          <w:p w14:paraId="2DFB4813" w14:textId="77777777" w:rsidR="00385727" w:rsidRPr="00385727" w:rsidRDefault="00385727" w:rsidP="00385727">
                            <w:pPr>
                              <w:rPr>
                                <w:b/>
                                <w:lang w:val="en-US" w:eastAsia="zh-CN"/>
                              </w:rPr>
                            </w:pPr>
                            <w:r w:rsidRPr="00385727">
                              <w:rPr>
                                <w:b/>
                                <w:lang w:eastAsia="zh-CN"/>
                              </w:rPr>
                              <w:t>gNB measurement requirements</w:t>
                            </w:r>
                          </w:p>
                          <w:p w14:paraId="1C08BEA5" w14:textId="77777777" w:rsidR="00385727" w:rsidRPr="00385727" w:rsidRDefault="00385727" w:rsidP="00385727">
                            <w:pPr>
                              <w:pStyle w:val="ListParagraph"/>
                              <w:numPr>
                                <w:ilvl w:val="0"/>
                                <w:numId w:val="38"/>
                              </w:numPr>
                              <w:spacing w:after="120"/>
                              <w:contextualSpacing w:val="0"/>
                              <w:rPr>
                                <w:b/>
                                <w:sz w:val="20"/>
                                <w:szCs w:val="20"/>
                              </w:rPr>
                            </w:pPr>
                            <w:r w:rsidRPr="00385727">
                              <w:rPr>
                                <w:b/>
                                <w:sz w:val="20"/>
                                <w:szCs w:val="20"/>
                              </w:rPr>
                              <w:t>Further discuss whether and how to define gNB measurement requirements</w:t>
                            </w:r>
                          </w:p>
                          <w:p w14:paraId="16868D32" w14:textId="77777777" w:rsidR="00385727" w:rsidRPr="00385727" w:rsidRDefault="00385727" w:rsidP="00385727">
                            <w:pPr>
                              <w:pStyle w:val="ListParagraph"/>
                              <w:numPr>
                                <w:ilvl w:val="0"/>
                                <w:numId w:val="38"/>
                              </w:numPr>
                              <w:spacing w:after="120"/>
                              <w:contextualSpacing w:val="0"/>
                              <w:rPr>
                                <w:b/>
                                <w:sz w:val="20"/>
                                <w:szCs w:val="20"/>
                              </w:rPr>
                            </w:pPr>
                            <w:r w:rsidRPr="00385727">
                              <w:rPr>
                                <w:b/>
                                <w:sz w:val="20"/>
                                <w:szCs w:val="20"/>
                              </w:rPr>
                              <w:t>Open questions</w:t>
                            </w:r>
                          </w:p>
                          <w:p w14:paraId="42E3750E" w14:textId="77777777" w:rsidR="00385727" w:rsidRPr="00385727" w:rsidRDefault="00385727" w:rsidP="00385727">
                            <w:pPr>
                              <w:pStyle w:val="ListParagraph"/>
                              <w:numPr>
                                <w:ilvl w:val="1"/>
                                <w:numId w:val="38"/>
                              </w:numPr>
                              <w:spacing w:after="120"/>
                              <w:contextualSpacing w:val="0"/>
                              <w:rPr>
                                <w:b/>
                                <w:sz w:val="20"/>
                                <w:szCs w:val="20"/>
                              </w:rPr>
                            </w:pPr>
                            <w:r w:rsidRPr="00385727">
                              <w:rPr>
                                <w:b/>
                                <w:sz w:val="20"/>
                                <w:szCs w:val="20"/>
                              </w:rPr>
                              <w:t xml:space="preserve">Necessity of requirements </w:t>
                            </w:r>
                          </w:p>
                          <w:p w14:paraId="2B0E7546" w14:textId="77777777" w:rsidR="00385727" w:rsidRPr="00385727" w:rsidRDefault="00385727" w:rsidP="00385727">
                            <w:pPr>
                              <w:pStyle w:val="ListParagraph"/>
                              <w:numPr>
                                <w:ilvl w:val="1"/>
                                <w:numId w:val="38"/>
                              </w:numPr>
                              <w:spacing w:after="120"/>
                              <w:contextualSpacing w:val="0"/>
                              <w:rPr>
                                <w:b/>
                                <w:sz w:val="20"/>
                                <w:szCs w:val="20"/>
                              </w:rPr>
                            </w:pPr>
                            <w:r w:rsidRPr="00385727">
                              <w:rPr>
                                <w:b/>
                                <w:sz w:val="20"/>
                                <w:szCs w:val="20"/>
                              </w:rPr>
                              <w:t>Applicability to different BS types</w:t>
                            </w:r>
                          </w:p>
                          <w:p w14:paraId="64B5DA71" w14:textId="77777777" w:rsidR="00385727" w:rsidRPr="00385727" w:rsidRDefault="00385727" w:rsidP="00385727">
                            <w:pPr>
                              <w:pStyle w:val="ListParagraph"/>
                              <w:numPr>
                                <w:ilvl w:val="1"/>
                                <w:numId w:val="38"/>
                              </w:numPr>
                              <w:spacing w:after="120"/>
                              <w:contextualSpacing w:val="0"/>
                              <w:rPr>
                                <w:b/>
                                <w:sz w:val="20"/>
                                <w:szCs w:val="20"/>
                              </w:rPr>
                            </w:pPr>
                            <w:r w:rsidRPr="00385727">
                              <w:rPr>
                                <w:b/>
                                <w:sz w:val="20"/>
                                <w:szCs w:val="20"/>
                              </w:rPr>
                              <w:t>Requirements types (e.g. UL RTOA, UL SRS-RSRP, gNB Rx-Tx time difference, AoA and ZoA)</w:t>
                            </w:r>
                          </w:p>
                          <w:p w14:paraId="2F89FCFD" w14:textId="77777777" w:rsidR="00385727" w:rsidRPr="006116E2" w:rsidRDefault="00385727" w:rsidP="00385727">
                            <w:pPr>
                              <w:rPr>
                                <w:lang w:val="en-US" w:eastAsia="zh-CN"/>
                              </w:rPr>
                            </w:pPr>
                          </w:p>
                          <w:p w14:paraId="58052106" w14:textId="77777777" w:rsidR="00385727" w:rsidRPr="009C5EB9" w:rsidRDefault="00385727" w:rsidP="00385727">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type w14:anchorId="62937BC0" id="_x0000_t202" coordsize="21600,21600" o:spt="202" path="m,l,21600r21600,l21600,xe">
                <v:stroke joinstyle="miter"/>
                <v:path gradientshapeok="t" o:connecttype="rect"/>
              </v:shapetype>
              <v:shape id="Text Box 4" o:spid="_x0000_s1026" type="#_x0000_t202" style="width:478.6pt;height:151.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">
                <v:textbox>
                  <w:txbxContent>
                    <w:p w14:paraId="4080F31C" w14:textId="77777777" w:rsidR="00385727" w:rsidRPr="00385727" w:rsidRDefault="00385727" w:rsidP="00385727">
                      <w:pPr>
                        <w:rPr>
                          <w:b/>
                          <w:u w:val="single"/>
                          <w:lang w:val="en-US" w:eastAsia="zh-CN"/>
                        </w:rPr>
                      </w:pPr>
                      <w:r w:rsidRPr="00385727">
                        <w:rPr>
                          <w:b/>
                          <w:u w:val="single"/>
                          <w:lang w:val="en-US" w:eastAsia="zh-CN"/>
                        </w:rPr>
                        <w:t>Agreements</w:t>
                      </w:r>
                    </w:p>
                    <w:p w14:paraId="2DFB4813" w14:textId="77777777" w:rsidR="00385727" w:rsidRPr="00385727" w:rsidRDefault="00385727" w:rsidP="00385727">
                      <w:pPr>
                        <w:rPr>
                          <w:b/>
                          <w:lang w:val="en-US" w:eastAsia="zh-CN"/>
                        </w:rPr>
                      </w:pPr>
                      <w:proofErr w:type="spellStart"/>
                      <w:r w:rsidRPr="00385727">
                        <w:rPr>
                          <w:b/>
                          <w:lang w:eastAsia="zh-CN"/>
                        </w:rPr>
                        <w:t>gNB</w:t>
                      </w:r>
                      <w:proofErr w:type="spellEnd"/>
                      <w:r w:rsidRPr="00385727">
                        <w:rPr>
                          <w:b/>
                          <w:lang w:eastAsia="zh-CN"/>
                        </w:rPr>
                        <w:t xml:space="preserve"> measurement requirements</w:t>
                      </w:r>
                    </w:p>
                    <w:p w14:paraId="1C08BEA5" w14:textId="77777777" w:rsidR="00385727" w:rsidRPr="00385727" w:rsidRDefault="00385727" w:rsidP="00385727">
                      <w:pPr>
                        <w:pStyle w:val="ListParagraph"/>
                        <w:numPr>
                          <w:ilvl w:val="0"/>
                          <w:numId w:val="38"/>
                        </w:numPr>
                        <w:spacing w:after="120"/>
                        <w:contextualSpacing w:val="0"/>
                        <w:rPr>
                          <w:b/>
                          <w:sz w:val="20"/>
                          <w:szCs w:val="20"/>
                        </w:rPr>
                      </w:pPr>
                      <w:r w:rsidRPr="00385727">
                        <w:rPr>
                          <w:b/>
                          <w:sz w:val="20"/>
                          <w:szCs w:val="20"/>
                        </w:rPr>
                        <w:t xml:space="preserve">Further discuss whether and how to define </w:t>
                      </w:r>
                      <w:proofErr w:type="spellStart"/>
                      <w:r w:rsidRPr="00385727">
                        <w:rPr>
                          <w:b/>
                          <w:sz w:val="20"/>
                          <w:szCs w:val="20"/>
                        </w:rPr>
                        <w:t>gNB</w:t>
                      </w:r>
                      <w:proofErr w:type="spellEnd"/>
                      <w:r w:rsidRPr="00385727">
                        <w:rPr>
                          <w:b/>
                          <w:sz w:val="20"/>
                          <w:szCs w:val="20"/>
                        </w:rPr>
                        <w:t xml:space="preserve"> measurement requirements</w:t>
                      </w:r>
                    </w:p>
                    <w:p w14:paraId="16868D32" w14:textId="77777777" w:rsidR="00385727" w:rsidRPr="00385727" w:rsidRDefault="00385727" w:rsidP="00385727">
                      <w:pPr>
                        <w:pStyle w:val="ListParagraph"/>
                        <w:numPr>
                          <w:ilvl w:val="0"/>
                          <w:numId w:val="38"/>
                        </w:numPr>
                        <w:spacing w:after="120"/>
                        <w:contextualSpacing w:val="0"/>
                        <w:rPr>
                          <w:b/>
                          <w:sz w:val="20"/>
                          <w:szCs w:val="20"/>
                        </w:rPr>
                      </w:pPr>
                      <w:r w:rsidRPr="00385727">
                        <w:rPr>
                          <w:b/>
                          <w:sz w:val="20"/>
                          <w:szCs w:val="20"/>
                        </w:rPr>
                        <w:t>Open questions</w:t>
                      </w:r>
                    </w:p>
                    <w:p w14:paraId="42E3750E" w14:textId="77777777" w:rsidR="00385727" w:rsidRPr="00385727" w:rsidRDefault="00385727" w:rsidP="00385727">
                      <w:pPr>
                        <w:pStyle w:val="ListParagraph"/>
                        <w:numPr>
                          <w:ilvl w:val="1"/>
                          <w:numId w:val="38"/>
                        </w:numPr>
                        <w:spacing w:after="120"/>
                        <w:contextualSpacing w:val="0"/>
                        <w:rPr>
                          <w:b/>
                          <w:sz w:val="20"/>
                          <w:szCs w:val="20"/>
                        </w:rPr>
                      </w:pPr>
                      <w:r w:rsidRPr="00385727">
                        <w:rPr>
                          <w:b/>
                          <w:sz w:val="20"/>
                          <w:szCs w:val="20"/>
                        </w:rPr>
                        <w:t xml:space="preserve">Necessity of requirements </w:t>
                      </w:r>
                    </w:p>
                    <w:p w14:paraId="2B0E7546" w14:textId="77777777" w:rsidR="00385727" w:rsidRPr="00385727" w:rsidRDefault="00385727" w:rsidP="00385727">
                      <w:pPr>
                        <w:pStyle w:val="ListParagraph"/>
                        <w:numPr>
                          <w:ilvl w:val="1"/>
                          <w:numId w:val="38"/>
                        </w:numPr>
                        <w:spacing w:after="120"/>
                        <w:contextualSpacing w:val="0"/>
                        <w:rPr>
                          <w:b/>
                          <w:sz w:val="20"/>
                          <w:szCs w:val="20"/>
                        </w:rPr>
                      </w:pPr>
                      <w:r w:rsidRPr="00385727">
                        <w:rPr>
                          <w:b/>
                          <w:sz w:val="20"/>
                          <w:szCs w:val="20"/>
                        </w:rPr>
                        <w:t>Applicability to different BS types</w:t>
                      </w:r>
                    </w:p>
                    <w:p w14:paraId="64B5DA71" w14:textId="77777777" w:rsidR="00385727" w:rsidRPr="00385727" w:rsidRDefault="00385727" w:rsidP="00385727">
                      <w:pPr>
                        <w:pStyle w:val="ListParagraph"/>
                        <w:numPr>
                          <w:ilvl w:val="1"/>
                          <w:numId w:val="38"/>
                        </w:numPr>
                        <w:spacing w:after="120"/>
                        <w:contextualSpacing w:val="0"/>
                        <w:rPr>
                          <w:b/>
                          <w:sz w:val="20"/>
                          <w:szCs w:val="20"/>
                        </w:rPr>
                      </w:pPr>
                      <w:r w:rsidRPr="00385727">
                        <w:rPr>
                          <w:b/>
                          <w:sz w:val="20"/>
                          <w:szCs w:val="20"/>
                        </w:rPr>
                        <w:t xml:space="preserve">Requirements types (e.g. UL RTOA, UL SRS-RSRP, </w:t>
                      </w:r>
                      <w:proofErr w:type="spellStart"/>
                      <w:r w:rsidRPr="00385727">
                        <w:rPr>
                          <w:b/>
                          <w:sz w:val="20"/>
                          <w:szCs w:val="20"/>
                        </w:rPr>
                        <w:t>gNB</w:t>
                      </w:r>
                      <w:proofErr w:type="spellEnd"/>
                      <w:r w:rsidRPr="00385727">
                        <w:rPr>
                          <w:b/>
                          <w:sz w:val="20"/>
                          <w:szCs w:val="20"/>
                        </w:rPr>
                        <w:t xml:space="preserve"> Rx-Tx time difference, </w:t>
                      </w:r>
                      <w:proofErr w:type="spellStart"/>
                      <w:r w:rsidRPr="00385727">
                        <w:rPr>
                          <w:b/>
                          <w:sz w:val="20"/>
                          <w:szCs w:val="20"/>
                        </w:rPr>
                        <w:t>AoA</w:t>
                      </w:r>
                      <w:proofErr w:type="spellEnd"/>
                      <w:r w:rsidRPr="00385727">
                        <w:rPr>
                          <w:b/>
                          <w:sz w:val="20"/>
                          <w:szCs w:val="20"/>
                        </w:rPr>
                        <w:t xml:space="preserve"> and </w:t>
                      </w:r>
                      <w:proofErr w:type="spellStart"/>
                      <w:r w:rsidRPr="00385727">
                        <w:rPr>
                          <w:b/>
                          <w:sz w:val="20"/>
                          <w:szCs w:val="20"/>
                        </w:rPr>
                        <w:t>ZoA</w:t>
                      </w:r>
                      <w:proofErr w:type="spellEnd"/>
                      <w:r w:rsidRPr="00385727">
                        <w:rPr>
                          <w:b/>
                          <w:sz w:val="20"/>
                          <w:szCs w:val="20"/>
                        </w:rPr>
                        <w:t>)</w:t>
                      </w:r>
                    </w:p>
                    <w:p w14:paraId="2F89FCFD" w14:textId="77777777" w:rsidR="00385727" w:rsidRPr="006116E2" w:rsidRDefault="00385727" w:rsidP="00385727">
                      <w:pPr>
                        <w:rPr>
                          <w:lang w:val="en-US" w:eastAsia="zh-CN"/>
                        </w:rPr>
                      </w:pPr>
                    </w:p>
                    <w:p w14:paraId="58052106" w14:textId="77777777" w:rsidR="00385727" w:rsidRPr="009C5EB9" w:rsidRDefault="00385727" w:rsidP="00385727">
                      <w:pPr>
                        <w:rPr>
                          <w:rFonts w:eastAsia="Batang"/>
                          <w:b/>
                          <w:lang w:eastAsia="zh-CN"/>
                        </w:rPr>
                      </w:pPr>
                    </w:p>
                  </w:txbxContent>
                </v:textbox>
                <w10:anchorlock/>
              </v:shape>
            </w:pict>
          </mc:Fallback>
        </mc:AlternateContent>
      </w:r>
    </w:p>
    <w:p w14:paraId="48083121" w14:textId="26570994" w:rsidR="00B11797" w:rsidRDefault="00D2472A" w:rsidP="00804DAC">
      <w:pPr>
        <w:rPr>
          <w:lang w:val="en-US"/>
        </w:rPr>
      </w:pPr>
      <w:r>
        <w:rPr>
          <w:lang w:val="en-US"/>
        </w:rPr>
        <w:t xml:space="preserve">In this paper, the necessity of gNB requirements for NR positioning </w:t>
      </w:r>
      <w:r w:rsidR="003F5AEC">
        <w:rPr>
          <w:lang w:val="en-US"/>
        </w:rPr>
        <w:t>and the requirement types are</w:t>
      </w:r>
      <w:r>
        <w:rPr>
          <w:lang w:val="en-US"/>
        </w:rPr>
        <w:t xml:space="preserve"> further discussed. </w:t>
      </w:r>
      <w:proofErr w:type="gramStart"/>
      <w:r>
        <w:rPr>
          <w:lang w:val="en-US"/>
        </w:rPr>
        <w:t>In particular, we</w:t>
      </w:r>
      <w:proofErr w:type="gramEnd"/>
      <w:r>
        <w:rPr>
          <w:lang w:val="en-US"/>
        </w:rPr>
        <w:t xml:space="preserve"> elaborate on the impact of lax network synchronization and calibration error on TDOA and multi-RTT positioning techniques, respectively. </w:t>
      </w:r>
      <w:r w:rsidR="00752E14">
        <w:rPr>
          <w:lang w:val="en-US"/>
        </w:rPr>
        <w:t>Both</w:t>
      </w:r>
      <w:r>
        <w:rPr>
          <w:lang w:val="en-US"/>
        </w:rPr>
        <w:t xml:space="preserve"> positioning techniques are adopted </w:t>
      </w:r>
      <w:r w:rsidR="00752E14">
        <w:rPr>
          <w:lang w:val="en-US"/>
        </w:rPr>
        <w:t xml:space="preserve">for Release 16 </w:t>
      </w:r>
      <w:r>
        <w:rPr>
          <w:lang w:val="en-US"/>
        </w:rPr>
        <w:t xml:space="preserve">per NR positioning WID [2].  </w:t>
      </w:r>
      <w:r w:rsidR="00B11797">
        <w:rPr>
          <w:lang w:val="en-US"/>
        </w:rPr>
        <w:t>For reference, the regulatory and commercial requirements for Release 16 NR positioning are reproduced here from TR38.855:</w:t>
      </w:r>
    </w:p>
    <w:p w14:paraId="12546FCF" w14:textId="331C5234" w:rsidR="00B11797" w:rsidRPr="00804DAC" w:rsidRDefault="00B11797" w:rsidP="00804DAC">
      <w:pPr>
        <w:rPr>
          <w:lang w:val="en-US"/>
        </w:rPr>
      </w:pPr>
      <w:r w:rsidRPr="0074147F">
        <w:rPr>
          <w:noProof/>
          <w:lang w:val="en-US" w:eastAsia="zh-CN"/>
        </w:rPr>
        <mc:AlternateContent>
          <mc:Choice Requires="wps">
            <w:drawing>
              <wp:inline distT="0" distB="0" distL="0" distR="0" wp14:anchorId="608A58D9" wp14:editId="726619EA">
                <wp:extent cx="6078220" cy="3286664"/>
                <wp:effectExtent l="0" t="0" r="17780" b="2857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3286664"/>
                        </a:xfrm>
                        <a:prstGeom prst="rect">
                          <a:avLst/>
                        </a:prstGeom>
                        <a:solidFill>
                          <a:srgbClr val="FFFFFF"/>
                        </a:solidFill>
                        <a:ln w="9525">
                          <a:solidFill>
                            <a:srgbClr val="000000"/>
                          </a:solidFill>
                          <a:miter lim="800000"/>
                          <a:headEnd/>
                          <a:tailEnd/>
                        </a:ln>
                      </wps:spPr>
                      <wps:txbx>
                        <w:txbxContent>
                          <w:p w14:paraId="66F39F14" w14:textId="77777777" w:rsidR="00B11797" w:rsidRPr="00790A20" w:rsidRDefault="00B11797" w:rsidP="00B11797">
                            <w:pPr>
                              <w:pStyle w:val="B10"/>
                              <w:ind w:left="0" w:firstLine="0"/>
                              <w:rPr>
                                <w:lang w:val="en-US"/>
                              </w:rPr>
                            </w:pPr>
                            <w:r w:rsidRPr="00790A20">
                              <w:rPr>
                                <w:lang w:val="en-US"/>
                              </w:rPr>
                              <w:t xml:space="preserve">For regulatory use cases, the following requirements are considered as a minimum performance targets for NR positioning: </w:t>
                            </w:r>
                          </w:p>
                          <w:p w14:paraId="2B2AB030" w14:textId="77777777" w:rsidR="00B11797" w:rsidRPr="00790A20" w:rsidRDefault="00B11797" w:rsidP="00B11797">
                            <w:pPr>
                              <w:pStyle w:val="B10"/>
                              <w:rPr>
                                <w:lang w:val="en-US"/>
                              </w:rPr>
                            </w:pPr>
                            <w:r w:rsidRPr="00790A20">
                              <w:rPr>
                                <w:lang w:val="en-US"/>
                              </w:rPr>
                              <w:t>-</w:t>
                            </w:r>
                            <w:r w:rsidRPr="00790A20">
                              <w:rPr>
                                <w:lang w:val="en-US"/>
                              </w:rPr>
                              <w:tab/>
                              <w:t>Horizontal positioning error &lt;= 50m for 80% of UEs</w:t>
                            </w:r>
                          </w:p>
                          <w:p w14:paraId="1FB5E6D3" w14:textId="77777777" w:rsidR="00B11797" w:rsidRPr="00790A20" w:rsidRDefault="00B11797" w:rsidP="00B11797">
                            <w:pPr>
                              <w:pStyle w:val="B10"/>
                              <w:rPr>
                                <w:lang w:val="en-US"/>
                              </w:rPr>
                            </w:pPr>
                            <w:r w:rsidRPr="00790A20">
                              <w:rPr>
                                <w:lang w:val="en-US"/>
                              </w:rPr>
                              <w:t>-</w:t>
                            </w:r>
                            <w:r w:rsidRPr="00790A20">
                              <w:rPr>
                                <w:lang w:val="en-US"/>
                              </w:rPr>
                              <w:tab/>
                              <w:t>Vertical positioning error &lt;5 m for 80% of UEs</w:t>
                            </w:r>
                          </w:p>
                          <w:p w14:paraId="2064E7C6" w14:textId="77777777" w:rsidR="00B11797" w:rsidRPr="00790A20" w:rsidRDefault="00B11797" w:rsidP="00B11797">
                            <w:pPr>
                              <w:pStyle w:val="B2"/>
                              <w:rPr>
                                <w:lang w:val="en-US"/>
                              </w:rPr>
                            </w:pPr>
                            <w:r w:rsidRPr="00790A20">
                              <w:rPr>
                                <w:lang w:val="en-US"/>
                              </w:rPr>
                              <w:t>-</w:t>
                            </w:r>
                            <w:r w:rsidRPr="00790A20">
                              <w:rPr>
                                <w:lang w:val="en-US"/>
                              </w:rPr>
                              <w:tab/>
                              <w:t>Note: The regulatory requirements of [36] refer to floor level vertical accuracy</w:t>
                            </w:r>
                          </w:p>
                          <w:p w14:paraId="5A1C5678" w14:textId="77777777" w:rsidR="00B11797" w:rsidRPr="00790A20" w:rsidRDefault="00B11797" w:rsidP="00B11797">
                            <w:pPr>
                              <w:pStyle w:val="B10"/>
                              <w:rPr>
                                <w:lang w:val="en-US"/>
                              </w:rPr>
                            </w:pPr>
                            <w:r w:rsidRPr="00790A20">
                              <w:rPr>
                                <w:lang w:val="en-US"/>
                              </w:rPr>
                              <w:t>-</w:t>
                            </w:r>
                            <w:r w:rsidRPr="00790A20">
                              <w:rPr>
                                <w:lang w:val="en-US"/>
                              </w:rPr>
                              <w:tab/>
                              <w:t>End to end latency and TTFF &lt; 30 seconds</w:t>
                            </w:r>
                          </w:p>
                          <w:p w14:paraId="0C2E14A3" w14:textId="77777777" w:rsidR="00B11797" w:rsidRPr="00790A20" w:rsidRDefault="00B11797" w:rsidP="00B11797">
                            <w:pPr>
                              <w:rPr>
                                <w:lang w:val="en-US"/>
                              </w:rPr>
                            </w:pPr>
                            <w:r w:rsidRPr="00790A20">
                              <w:rPr>
                                <w:lang w:val="en-US"/>
                              </w:rPr>
                              <w:t>As a starting point for commercial use cases, the following requirements are considered as performance targets for RAT dependent solutions, which are subject to further analysis in terms of performance/ complexity tradeoffs of NR positioning radio-layer solutions:</w:t>
                            </w:r>
                          </w:p>
                          <w:p w14:paraId="5EDA58ED" w14:textId="77777777" w:rsidR="00B11797" w:rsidRPr="00790A20" w:rsidRDefault="00B11797" w:rsidP="00B11797">
                            <w:pPr>
                              <w:pStyle w:val="B10"/>
                              <w:rPr>
                                <w:lang w:val="en-US"/>
                              </w:rPr>
                            </w:pPr>
                            <w:r w:rsidRPr="00790A20">
                              <w:rPr>
                                <w:lang w:val="en-US"/>
                              </w:rPr>
                              <w:t>-</w:t>
                            </w:r>
                            <w:r w:rsidRPr="00790A20">
                              <w:rPr>
                                <w:lang w:val="en-US"/>
                              </w:rPr>
                              <w:tab/>
                              <w:t>Horizontal positioning error &lt; 3m for 80% of UEs in indoor deployment scenarios</w:t>
                            </w:r>
                          </w:p>
                          <w:p w14:paraId="79926046" w14:textId="77777777" w:rsidR="00B11797" w:rsidRPr="00790A20" w:rsidRDefault="00B11797" w:rsidP="00B11797">
                            <w:pPr>
                              <w:pStyle w:val="B10"/>
                              <w:rPr>
                                <w:lang w:val="en-US"/>
                              </w:rPr>
                            </w:pPr>
                            <w:r w:rsidRPr="00790A20">
                              <w:rPr>
                                <w:lang w:val="en-US"/>
                              </w:rPr>
                              <w:t>-</w:t>
                            </w:r>
                            <w:r w:rsidRPr="00790A20">
                              <w:rPr>
                                <w:lang w:val="en-US"/>
                              </w:rPr>
                              <w:tab/>
                              <w:t>Vertical positioning error &lt; 3m for 80% of UEs in indoor deployment scenarios</w:t>
                            </w:r>
                          </w:p>
                          <w:p w14:paraId="7F845802" w14:textId="77777777" w:rsidR="00B11797" w:rsidRPr="00790A20" w:rsidRDefault="00B11797" w:rsidP="00B11797">
                            <w:pPr>
                              <w:pStyle w:val="B10"/>
                              <w:rPr>
                                <w:lang w:val="en-US"/>
                              </w:rPr>
                            </w:pPr>
                            <w:r w:rsidRPr="00790A20">
                              <w:rPr>
                                <w:lang w:val="en-US"/>
                              </w:rPr>
                              <w:t>-</w:t>
                            </w:r>
                            <w:r w:rsidRPr="00790A20">
                              <w:rPr>
                                <w:lang w:val="en-US"/>
                              </w:rPr>
                              <w:tab/>
                              <w:t xml:space="preserve">Horizontal positioning error &lt; 10m for 80% of UEs in outdoor deployments scenarios </w:t>
                            </w:r>
                          </w:p>
                          <w:p w14:paraId="13314B3A" w14:textId="77777777" w:rsidR="00B11797" w:rsidRPr="00790A20" w:rsidRDefault="00B11797" w:rsidP="00B11797">
                            <w:pPr>
                              <w:pStyle w:val="B10"/>
                              <w:rPr>
                                <w:lang w:val="en-US"/>
                              </w:rPr>
                            </w:pPr>
                            <w:r w:rsidRPr="00790A20">
                              <w:rPr>
                                <w:lang w:val="en-US"/>
                              </w:rPr>
                              <w:t>-</w:t>
                            </w:r>
                            <w:r w:rsidRPr="00790A20">
                              <w:rPr>
                                <w:lang w:val="en-US"/>
                              </w:rPr>
                              <w:tab/>
                              <w:t>Vertical positioning error &lt; 3m for 80% of UEs in outdoor deployment scenarios</w:t>
                            </w:r>
                          </w:p>
                          <w:p w14:paraId="651FA558" w14:textId="77777777" w:rsidR="00B11797" w:rsidRPr="00790A20" w:rsidRDefault="00B11797" w:rsidP="00B11797">
                            <w:pPr>
                              <w:pStyle w:val="B10"/>
                              <w:rPr>
                                <w:lang w:val="en-US"/>
                              </w:rPr>
                            </w:pPr>
                            <w:r w:rsidRPr="00790A20">
                              <w:rPr>
                                <w:lang w:val="en-US"/>
                              </w:rPr>
                              <w:t>-</w:t>
                            </w:r>
                            <w:r w:rsidRPr="00790A20">
                              <w:rPr>
                                <w:lang w:val="en-US"/>
                              </w:rPr>
                              <w:tab/>
                              <w:t>End to end latency &lt; 1s</w:t>
                            </w:r>
                          </w:p>
                          <w:p w14:paraId="0A17006E" w14:textId="77777777" w:rsidR="00B11797" w:rsidRPr="009C5EB9" w:rsidRDefault="00B11797" w:rsidP="00B11797">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608A58D9" id="Text Box 1" o:spid="_x0000_s1027" type="#_x0000_t202" style="width:478.6pt;height:258.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">
                <v:textbox>
                  <w:txbxContent>
                    <w:p w14:paraId="66F39F14" w14:textId="77777777" w:rsidR="00B11797" w:rsidRPr="00790A20" w:rsidRDefault="00B11797" w:rsidP="00B11797">
                      <w:pPr>
                        <w:pStyle w:val="B10"/>
                        <w:ind w:left="0" w:firstLine="0"/>
                        <w:rPr>
                          <w:lang w:val="en-US"/>
                        </w:rPr>
                      </w:pPr>
                      <w:r w:rsidRPr="00790A20">
                        <w:rPr>
                          <w:lang w:val="en-US"/>
                        </w:rPr>
                        <w:t xml:space="preserve">For regulatory use cases, the following requirements are considered as a minimum performance targets for NR positioning: </w:t>
                      </w:r>
                    </w:p>
                    <w:p w14:paraId="2B2AB030" w14:textId="77777777" w:rsidR="00B11797" w:rsidRPr="00790A20" w:rsidRDefault="00B11797" w:rsidP="00B11797">
                      <w:pPr>
                        <w:pStyle w:val="B10"/>
                        <w:rPr>
                          <w:lang w:val="en-US"/>
                        </w:rPr>
                      </w:pPr>
                      <w:r w:rsidRPr="00790A20">
                        <w:rPr>
                          <w:lang w:val="en-US"/>
                        </w:rPr>
                        <w:t>-</w:t>
                      </w:r>
                      <w:r w:rsidRPr="00790A20">
                        <w:rPr>
                          <w:lang w:val="en-US"/>
                        </w:rPr>
                        <w:tab/>
                        <w:t>Horizontal positioning error &lt;= 50m for 80% of UEs</w:t>
                      </w:r>
                    </w:p>
                    <w:p w14:paraId="1FB5E6D3" w14:textId="77777777" w:rsidR="00B11797" w:rsidRPr="00790A20" w:rsidRDefault="00B11797" w:rsidP="00B11797">
                      <w:pPr>
                        <w:pStyle w:val="B10"/>
                        <w:rPr>
                          <w:lang w:val="en-US"/>
                        </w:rPr>
                      </w:pPr>
                      <w:r w:rsidRPr="00790A20">
                        <w:rPr>
                          <w:lang w:val="en-US"/>
                        </w:rPr>
                        <w:t>-</w:t>
                      </w:r>
                      <w:r w:rsidRPr="00790A20">
                        <w:rPr>
                          <w:lang w:val="en-US"/>
                        </w:rPr>
                        <w:tab/>
                        <w:t>Vertical positioning error &lt;5 m for 80% of UEs</w:t>
                      </w:r>
                    </w:p>
                    <w:p w14:paraId="2064E7C6" w14:textId="77777777" w:rsidR="00B11797" w:rsidRPr="00790A20" w:rsidRDefault="00B11797" w:rsidP="00B11797">
                      <w:pPr>
                        <w:pStyle w:val="B2"/>
                        <w:rPr>
                          <w:lang w:val="en-US"/>
                        </w:rPr>
                      </w:pPr>
                      <w:r w:rsidRPr="00790A20">
                        <w:rPr>
                          <w:lang w:val="en-US"/>
                        </w:rPr>
                        <w:t>-</w:t>
                      </w:r>
                      <w:r w:rsidRPr="00790A20">
                        <w:rPr>
                          <w:lang w:val="en-US"/>
                        </w:rPr>
                        <w:tab/>
                        <w:t>Note: The regulatory requirements of [36] refer to floor level vertical accuracy</w:t>
                      </w:r>
                    </w:p>
                    <w:p w14:paraId="5A1C5678" w14:textId="77777777" w:rsidR="00B11797" w:rsidRPr="00790A20" w:rsidRDefault="00B11797" w:rsidP="00B11797">
                      <w:pPr>
                        <w:pStyle w:val="B10"/>
                        <w:rPr>
                          <w:lang w:val="en-US"/>
                        </w:rPr>
                      </w:pPr>
                      <w:r w:rsidRPr="00790A20">
                        <w:rPr>
                          <w:lang w:val="en-US"/>
                        </w:rPr>
                        <w:t>-</w:t>
                      </w:r>
                      <w:r w:rsidRPr="00790A20">
                        <w:rPr>
                          <w:lang w:val="en-US"/>
                        </w:rPr>
                        <w:tab/>
                        <w:t>End to end latency and TTFF &lt; 30 seconds</w:t>
                      </w:r>
                    </w:p>
                    <w:p w14:paraId="0C2E14A3" w14:textId="77777777" w:rsidR="00B11797" w:rsidRPr="00790A20" w:rsidRDefault="00B11797" w:rsidP="00B11797">
                      <w:pPr>
                        <w:rPr>
                          <w:lang w:val="en-US"/>
                        </w:rPr>
                      </w:pPr>
                      <w:r w:rsidRPr="00790A20">
                        <w:rPr>
                          <w:lang w:val="en-US"/>
                        </w:rPr>
                        <w:t>As a starting point for commercial use cases, the following requirements are considered as performance targets for RAT dependent solutions, which are subject to further analysis in terms of performance/ complexity tradeoffs of NR positioning radio-layer solutions:</w:t>
                      </w:r>
                    </w:p>
                    <w:p w14:paraId="5EDA58ED" w14:textId="77777777" w:rsidR="00B11797" w:rsidRPr="00790A20" w:rsidRDefault="00B11797" w:rsidP="00B11797">
                      <w:pPr>
                        <w:pStyle w:val="B10"/>
                        <w:rPr>
                          <w:lang w:val="en-US"/>
                        </w:rPr>
                      </w:pPr>
                      <w:r w:rsidRPr="00790A20">
                        <w:rPr>
                          <w:lang w:val="en-US"/>
                        </w:rPr>
                        <w:t>-</w:t>
                      </w:r>
                      <w:r w:rsidRPr="00790A20">
                        <w:rPr>
                          <w:lang w:val="en-US"/>
                        </w:rPr>
                        <w:tab/>
                        <w:t>Horizontal positioning error &lt; 3m for 80% of UEs in indoor deployment scenarios</w:t>
                      </w:r>
                    </w:p>
                    <w:p w14:paraId="79926046" w14:textId="77777777" w:rsidR="00B11797" w:rsidRPr="00790A20" w:rsidRDefault="00B11797" w:rsidP="00B11797">
                      <w:pPr>
                        <w:pStyle w:val="B10"/>
                        <w:rPr>
                          <w:lang w:val="en-US"/>
                        </w:rPr>
                      </w:pPr>
                      <w:r w:rsidRPr="00790A20">
                        <w:rPr>
                          <w:lang w:val="en-US"/>
                        </w:rPr>
                        <w:t>-</w:t>
                      </w:r>
                      <w:r w:rsidRPr="00790A20">
                        <w:rPr>
                          <w:lang w:val="en-US"/>
                        </w:rPr>
                        <w:tab/>
                        <w:t>Vertical positioning error &lt; 3m for 80% of UEs in indoor deployment scenarios</w:t>
                      </w:r>
                    </w:p>
                    <w:p w14:paraId="7F845802" w14:textId="77777777" w:rsidR="00B11797" w:rsidRPr="00790A20" w:rsidRDefault="00B11797" w:rsidP="00B11797">
                      <w:pPr>
                        <w:pStyle w:val="B10"/>
                        <w:rPr>
                          <w:lang w:val="en-US"/>
                        </w:rPr>
                      </w:pPr>
                      <w:r w:rsidRPr="00790A20">
                        <w:rPr>
                          <w:lang w:val="en-US"/>
                        </w:rPr>
                        <w:t>-</w:t>
                      </w:r>
                      <w:r w:rsidRPr="00790A20">
                        <w:rPr>
                          <w:lang w:val="en-US"/>
                        </w:rPr>
                        <w:tab/>
                        <w:t xml:space="preserve">Horizontal positioning error &lt; 10m for 80% of UEs in outdoor deployments scenarios </w:t>
                      </w:r>
                    </w:p>
                    <w:p w14:paraId="13314B3A" w14:textId="77777777" w:rsidR="00B11797" w:rsidRPr="00790A20" w:rsidRDefault="00B11797" w:rsidP="00B11797">
                      <w:pPr>
                        <w:pStyle w:val="B10"/>
                        <w:rPr>
                          <w:lang w:val="en-US"/>
                        </w:rPr>
                      </w:pPr>
                      <w:r w:rsidRPr="00790A20">
                        <w:rPr>
                          <w:lang w:val="en-US"/>
                        </w:rPr>
                        <w:t>-</w:t>
                      </w:r>
                      <w:r w:rsidRPr="00790A20">
                        <w:rPr>
                          <w:lang w:val="en-US"/>
                        </w:rPr>
                        <w:tab/>
                        <w:t>Vertical positioning error &lt; 3m for 80% of UEs in outdoor deployment scenarios</w:t>
                      </w:r>
                    </w:p>
                    <w:p w14:paraId="651FA558" w14:textId="77777777" w:rsidR="00B11797" w:rsidRPr="00790A20" w:rsidRDefault="00B11797" w:rsidP="00B11797">
                      <w:pPr>
                        <w:pStyle w:val="B10"/>
                        <w:rPr>
                          <w:lang w:val="en-US"/>
                        </w:rPr>
                      </w:pPr>
                      <w:r w:rsidRPr="00790A20">
                        <w:rPr>
                          <w:lang w:val="en-US"/>
                        </w:rPr>
                        <w:t>-</w:t>
                      </w:r>
                      <w:r w:rsidRPr="00790A20">
                        <w:rPr>
                          <w:lang w:val="en-US"/>
                        </w:rPr>
                        <w:tab/>
                        <w:t>End to end latency &lt; 1s</w:t>
                      </w:r>
                    </w:p>
                    <w:p w14:paraId="0A17006E" w14:textId="77777777" w:rsidR="00B11797" w:rsidRPr="009C5EB9" w:rsidRDefault="00B11797" w:rsidP="00B11797">
                      <w:pPr>
                        <w:rPr>
                          <w:rFonts w:eastAsia="Batang"/>
                          <w:b/>
                          <w:lang w:eastAsia="zh-CN"/>
                        </w:rPr>
                      </w:pPr>
                    </w:p>
                  </w:txbxContent>
                </v:textbox>
                <w10:anchorlock/>
              </v:shape>
            </w:pict>
          </mc:Fallback>
        </mc:AlternateContent>
      </w:r>
    </w:p>
    <w:p w14:paraId="2D0D5189" w14:textId="62488B45" w:rsidR="00C51EC1" w:rsidRDefault="00214095" w:rsidP="00C51EC1">
      <w:pPr>
        <w:pStyle w:val="Heading1"/>
        <w:rPr>
          <w:lang w:val="en-US"/>
        </w:rPr>
      </w:pPr>
      <w:r>
        <w:rPr>
          <w:lang w:val="en-US"/>
        </w:rPr>
        <w:lastRenderedPageBreak/>
        <w:t>NW phase synchronization</w:t>
      </w:r>
    </w:p>
    <w:p w14:paraId="530805C1" w14:textId="73806A49" w:rsidR="0005179F" w:rsidRDefault="004003A2" w:rsidP="004003A2">
      <w:pPr>
        <w:pStyle w:val="Heading2"/>
        <w:rPr>
          <w:lang w:val="en-US"/>
        </w:rPr>
      </w:pPr>
      <w:r>
        <w:rPr>
          <w:lang w:val="en-US"/>
        </w:rPr>
        <w:t xml:space="preserve"> </w:t>
      </w:r>
      <w:r w:rsidR="00214095">
        <w:rPr>
          <w:lang w:val="en-US"/>
        </w:rPr>
        <w:t>Impact on</w:t>
      </w:r>
      <w:r w:rsidR="00752E14">
        <w:rPr>
          <w:lang w:val="en-US"/>
        </w:rPr>
        <w:t xml:space="preserve"> TDOA</w:t>
      </w:r>
    </w:p>
    <w:p w14:paraId="6C390474" w14:textId="05E44077" w:rsidR="00AF3D51" w:rsidRDefault="00AF3D51" w:rsidP="00752E14">
      <w:pPr>
        <w:rPr>
          <w:lang w:val="en-US"/>
        </w:rPr>
      </w:pPr>
      <w:r>
        <w:rPr>
          <w:lang w:val="en-US"/>
        </w:rPr>
        <w:t xml:space="preserve">Network </w:t>
      </w:r>
      <w:r w:rsidR="00A72557">
        <w:rPr>
          <w:lang w:val="en-US"/>
        </w:rPr>
        <w:t xml:space="preserve">phase </w:t>
      </w:r>
      <w:r>
        <w:rPr>
          <w:lang w:val="en-US"/>
        </w:rPr>
        <w:t xml:space="preserve">synchronization error induces a timing offset in slot boundaries of different TRP’s transmitting DL PRS. UE, unaware of this timing offset, measures and reports RSTDs with cumulative effect of propagation delays and timing offsets. The positioning algorithm, therefore, incurs an estimation error or bias in the positioning fix that grows as the timing synchronization error increases. </w:t>
      </w:r>
    </w:p>
    <w:p w14:paraId="0A93C3BB" w14:textId="77777777" w:rsidR="00AF3D51" w:rsidRDefault="00AF3D51" w:rsidP="00752E14">
      <w:pPr>
        <w:rPr>
          <w:lang w:val="en-US"/>
        </w:rPr>
      </w:pPr>
      <w:r>
        <w:rPr>
          <w:lang w:val="en-US"/>
        </w:rPr>
        <w:t>This effect is well known and was even part of the SI in TR38.855. In Table 6.1.1-1 of TR38.855 under the common scenario parameters applicable to all studies scenarios, network synchronization error, per UE dropping, is defined as a truncated Gaussian distribution of (T1 ns) RMS values between a gNB and a timing reference source which is assumed to have perfect timing, subject to a largest timing difference of T2 ns, where T2 = 2*T1, i.e., the range of timing errors is [-T2, T2]. The scenarios were studies with two values for T1:</w:t>
      </w:r>
    </w:p>
    <w:p w14:paraId="3E216139" w14:textId="52B83E59" w:rsidR="00752E14" w:rsidRPr="00AF3D51" w:rsidRDefault="00AF3D51" w:rsidP="00AF3D51">
      <w:pPr>
        <w:pStyle w:val="ListParagraph"/>
        <w:numPr>
          <w:ilvl w:val="0"/>
          <w:numId w:val="35"/>
        </w:numPr>
        <w:rPr>
          <w:sz w:val="20"/>
          <w:szCs w:val="20"/>
        </w:rPr>
      </w:pPr>
      <w:r w:rsidRPr="00AF3D51">
        <w:rPr>
          <w:sz w:val="20"/>
          <w:szCs w:val="20"/>
        </w:rPr>
        <w:t>T1 = 0ns (perfect NW synchronization)</w:t>
      </w:r>
    </w:p>
    <w:p w14:paraId="013CB4FA" w14:textId="107987F0" w:rsidR="00AF3D51" w:rsidRPr="00AF3D51" w:rsidRDefault="00AF3D51" w:rsidP="00AF3D51">
      <w:pPr>
        <w:pStyle w:val="ListParagraph"/>
        <w:numPr>
          <w:ilvl w:val="0"/>
          <w:numId w:val="35"/>
        </w:numPr>
        <w:rPr>
          <w:sz w:val="20"/>
          <w:szCs w:val="20"/>
        </w:rPr>
      </w:pPr>
      <w:r w:rsidRPr="00AF3D51">
        <w:rPr>
          <w:sz w:val="20"/>
          <w:szCs w:val="20"/>
        </w:rPr>
        <w:t>T1 = 50ns</w:t>
      </w:r>
    </w:p>
    <w:p w14:paraId="2160C0AE" w14:textId="0B16F5BB" w:rsidR="00AF3D51" w:rsidRDefault="00AF3D51" w:rsidP="00AF3D51"/>
    <w:p w14:paraId="0ADDBD7C" w14:textId="12A01DE1" w:rsidR="004352DF" w:rsidRDefault="004352DF" w:rsidP="00AF3D51">
      <w:r>
        <w:t>Summary of evaluation results from all the sources can be found in Section 8.5 of TR38.855. For instance, in scenario 2 (UMi), the following summary is captured:</w:t>
      </w:r>
    </w:p>
    <w:p w14:paraId="23A6F75D" w14:textId="613C2297" w:rsidR="004352DF" w:rsidRDefault="004352DF" w:rsidP="00AF3D51">
      <w:r w:rsidRPr="0074147F">
        <w:rPr>
          <w:noProof/>
          <w:lang w:val="en-US" w:eastAsia="zh-CN"/>
        </w:rPr>
        <mc:AlternateContent>
          <mc:Choice Requires="wps">
            <w:drawing>
              <wp:inline distT="0" distB="0" distL="0" distR="0" wp14:anchorId="5B07F1B1" wp14:editId="2B6106EB">
                <wp:extent cx="6078220" cy="2059388"/>
                <wp:effectExtent l="0" t="0" r="17780" b="17145"/>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2059388"/>
                        </a:xfrm>
                        <a:prstGeom prst="rect">
                          <a:avLst/>
                        </a:prstGeom>
                        <a:solidFill>
                          <a:srgbClr val="FFFFFF"/>
                        </a:solidFill>
                        <a:ln w="9525">
                          <a:solidFill>
                            <a:srgbClr val="000000"/>
                          </a:solidFill>
                          <a:miter lim="800000"/>
                          <a:headEnd/>
                          <a:tailEnd/>
                        </a:ln>
                      </wps:spPr>
                      <wps:txbx>
                        <w:txbxContent>
                          <w:p w14:paraId="1F0E42AE" w14:textId="658B1F4F" w:rsidR="004352DF" w:rsidRPr="004352DF" w:rsidRDefault="004352DF" w:rsidP="004352DF">
                            <w:pPr>
                              <w:autoSpaceDE w:val="0"/>
                              <w:autoSpaceDN w:val="0"/>
                              <w:adjustRightInd w:val="0"/>
                              <w:spacing w:after="0"/>
                              <w:rPr>
                                <w:rFonts w:ascii="Arial" w:hAnsi="Arial" w:cs="Arial"/>
                                <w:color w:val="000000"/>
                                <w:sz w:val="23"/>
                                <w:szCs w:val="23"/>
                                <w:lang w:val="en-US" w:eastAsia="ko-KR"/>
                              </w:rPr>
                            </w:pPr>
                            <w:proofErr w:type="gramStart"/>
                            <w:r w:rsidRPr="004352DF">
                              <w:rPr>
                                <w:rFonts w:ascii="Arial" w:hAnsi="Arial" w:cs="Arial"/>
                                <w:color w:val="000000"/>
                                <w:sz w:val="23"/>
                                <w:szCs w:val="23"/>
                                <w:lang w:val="en-US" w:eastAsia="ko-KR"/>
                              </w:rPr>
                              <w:t xml:space="preserve">8.5.1.2 </w:t>
                            </w:r>
                            <w:r>
                              <w:rPr>
                                <w:rFonts w:ascii="Arial" w:hAnsi="Arial" w:cs="Arial"/>
                                <w:color w:val="000000"/>
                                <w:sz w:val="23"/>
                                <w:szCs w:val="23"/>
                                <w:lang w:val="en-US" w:eastAsia="ko-KR"/>
                              </w:rPr>
                              <w:t xml:space="preserve"> </w:t>
                            </w:r>
                            <w:r w:rsidRPr="004352DF">
                              <w:rPr>
                                <w:rFonts w:ascii="Arial" w:hAnsi="Arial" w:cs="Arial"/>
                                <w:color w:val="000000"/>
                                <w:sz w:val="23"/>
                                <w:szCs w:val="23"/>
                                <w:lang w:val="en-US" w:eastAsia="ko-KR"/>
                              </w:rPr>
                              <w:t>Summary</w:t>
                            </w:r>
                            <w:proofErr w:type="gramEnd"/>
                            <w:r w:rsidRPr="004352DF">
                              <w:rPr>
                                <w:rFonts w:ascii="Arial" w:hAnsi="Arial" w:cs="Arial"/>
                                <w:color w:val="000000"/>
                                <w:sz w:val="23"/>
                                <w:szCs w:val="23"/>
                                <w:lang w:val="en-US" w:eastAsia="ko-KR"/>
                              </w:rPr>
                              <w:t xml:space="preserve"> for Scenario 2 – UMi </w:t>
                            </w:r>
                          </w:p>
                          <w:p w14:paraId="326B37DC" w14:textId="77777777" w:rsidR="004352DF" w:rsidRDefault="004352DF" w:rsidP="004352DF">
                            <w:pPr>
                              <w:autoSpaceDE w:val="0"/>
                              <w:autoSpaceDN w:val="0"/>
                              <w:adjustRightInd w:val="0"/>
                              <w:spacing w:after="0"/>
                              <w:rPr>
                                <w:color w:val="000000"/>
                                <w:lang w:val="en-US" w:eastAsia="ko-KR"/>
                              </w:rPr>
                            </w:pPr>
                          </w:p>
                          <w:p w14:paraId="0120CBB5" w14:textId="253D0EBD" w:rsidR="004352DF" w:rsidRPr="004352DF" w:rsidRDefault="004352DF" w:rsidP="004352DF">
                            <w:pPr>
                              <w:autoSpaceDE w:val="0"/>
                              <w:autoSpaceDN w:val="0"/>
                              <w:adjustRightInd w:val="0"/>
                              <w:spacing w:after="0"/>
                              <w:rPr>
                                <w:rFonts w:ascii="Arial" w:hAnsi="Arial" w:cs="Arial"/>
                                <w:color w:val="000000"/>
                                <w:lang w:val="en-US" w:eastAsia="ko-KR"/>
                              </w:rPr>
                            </w:pPr>
                            <w:r w:rsidRPr="004352DF">
                              <w:rPr>
                                <w:color w:val="000000"/>
                                <w:lang w:val="en-US" w:eastAsia="ko-KR"/>
                              </w:rPr>
                              <w:t xml:space="preserve">For the UMi scenario, channel models and simulation assumptions, the following can be observed for horizontal accuracy as described in section 5 of the TR for regulatory and commercial requirements: </w:t>
                            </w:r>
                          </w:p>
                          <w:p w14:paraId="0E9586E7" w14:textId="77777777" w:rsidR="004352DF" w:rsidRDefault="004352DF" w:rsidP="004352DF">
                            <w:pPr>
                              <w:autoSpaceDE w:val="0"/>
                              <w:autoSpaceDN w:val="0"/>
                              <w:adjustRightInd w:val="0"/>
                              <w:spacing w:after="0"/>
                              <w:rPr>
                                <w:color w:val="000000"/>
                                <w:lang w:val="en-US" w:eastAsia="ko-KR"/>
                              </w:rPr>
                            </w:pPr>
                          </w:p>
                          <w:p w14:paraId="62337E99" w14:textId="19650B4F" w:rsidR="004352DF" w:rsidRDefault="004352DF" w:rsidP="004352DF">
                            <w:pPr>
                              <w:autoSpaceDE w:val="0"/>
                              <w:autoSpaceDN w:val="0"/>
                              <w:adjustRightInd w:val="0"/>
                              <w:spacing w:after="0"/>
                              <w:ind w:left="284"/>
                              <w:rPr>
                                <w:color w:val="000000"/>
                                <w:lang w:val="en-US" w:eastAsia="ko-KR"/>
                              </w:rPr>
                            </w:pPr>
                            <w:r w:rsidRPr="004352DF">
                              <w:rPr>
                                <w:color w:val="000000"/>
                                <w:lang w:val="en-US" w:eastAsia="ko-KR"/>
                              </w:rPr>
                              <w:t xml:space="preserve">- For scenario 2 the evaluations from 12 out of 12 sources showed that DL-TDOA can meet the regulatory requirements for FR1 and FR2. </w:t>
                            </w:r>
                          </w:p>
                          <w:p w14:paraId="546FA2CD" w14:textId="77777777" w:rsidR="004352DF" w:rsidRPr="004352DF" w:rsidRDefault="004352DF" w:rsidP="004352DF">
                            <w:pPr>
                              <w:autoSpaceDE w:val="0"/>
                              <w:autoSpaceDN w:val="0"/>
                              <w:adjustRightInd w:val="0"/>
                              <w:spacing w:after="0"/>
                              <w:ind w:left="284"/>
                              <w:rPr>
                                <w:rFonts w:ascii="Arial" w:hAnsi="Arial" w:cs="Arial"/>
                                <w:color w:val="000000"/>
                                <w:lang w:val="en-US" w:eastAsia="ko-KR"/>
                              </w:rPr>
                            </w:pPr>
                          </w:p>
                          <w:p w14:paraId="6C8C94FD" w14:textId="59C568CA" w:rsidR="004352DF" w:rsidRDefault="004352DF" w:rsidP="004352DF">
                            <w:pPr>
                              <w:autoSpaceDE w:val="0"/>
                              <w:autoSpaceDN w:val="0"/>
                              <w:adjustRightInd w:val="0"/>
                              <w:spacing w:after="0"/>
                              <w:ind w:left="284"/>
                              <w:rPr>
                                <w:color w:val="000000"/>
                                <w:lang w:val="en-US" w:eastAsia="ko-KR"/>
                              </w:rPr>
                            </w:pPr>
                            <w:r w:rsidRPr="004352DF">
                              <w:rPr>
                                <w:color w:val="000000"/>
                                <w:lang w:val="en-US" w:eastAsia="ko-KR"/>
                              </w:rPr>
                              <w:t xml:space="preserve">- For scenario 2, the evaluations from 12, out of 12 sources showed that DL-TDOA can meet the commercial requirement, when no synchronization error is included in the evaluation for FR1 and FR2. </w:t>
                            </w:r>
                          </w:p>
                          <w:p w14:paraId="0551F0D1" w14:textId="77777777" w:rsidR="004352DF" w:rsidRPr="004352DF" w:rsidRDefault="004352DF" w:rsidP="004352DF">
                            <w:pPr>
                              <w:autoSpaceDE w:val="0"/>
                              <w:autoSpaceDN w:val="0"/>
                              <w:adjustRightInd w:val="0"/>
                              <w:spacing w:after="0"/>
                              <w:ind w:left="284"/>
                              <w:rPr>
                                <w:rFonts w:ascii="Arial" w:hAnsi="Arial" w:cs="Arial"/>
                                <w:color w:val="000000"/>
                                <w:lang w:val="en-US" w:eastAsia="ko-KR"/>
                              </w:rPr>
                            </w:pPr>
                          </w:p>
                          <w:p w14:paraId="7A55F7D2" w14:textId="683C984E" w:rsidR="004352DF" w:rsidRPr="009C5EB9" w:rsidRDefault="004352DF" w:rsidP="004352DF">
                            <w:pPr>
                              <w:ind w:left="284"/>
                              <w:rPr>
                                <w:rFonts w:eastAsia="Batang"/>
                                <w:b/>
                                <w:lang w:eastAsia="zh-CN"/>
                              </w:rPr>
                            </w:pPr>
                            <w:r w:rsidRPr="004352DF">
                              <w:rPr>
                                <w:color w:val="000000"/>
                                <w:lang w:val="en-US" w:eastAsia="ko-KR"/>
                              </w:rPr>
                              <w:t>- When synchronization error is modeled, the DL-TDOA evaluations from 0 out of 6 sources showed the commercial requirements as described in section 5 of the TR can be met for FR1 and FR2.</w:t>
                            </w:r>
                          </w:p>
                        </w:txbxContent>
                      </wps:txbx>
                      <wps:bodyPr rot="0" vert="horz" wrap="square" lIns="91440" tIns="45720" rIns="91440" bIns="45720" anchor="t" anchorCtr="0">
                        <a:noAutofit/>
                      </wps:bodyPr>
                    </wps:wsp>
                  </a:graphicData>
                </a:graphic>
              </wp:inline>
            </w:drawing>
          </mc:Choice>
          <mc:Fallback>
            <w:pict>
              <v:shape w14:anchorId="5B07F1B1" id="Text Box 3" o:spid="_x0000_s1028" type="#_x0000_t202" style="width:478.6pt;height:162.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">
                <v:textbox>
                  <w:txbxContent>
                    <w:p w14:paraId="1F0E42AE" w14:textId="658B1F4F" w:rsidR="004352DF" w:rsidRPr="004352DF" w:rsidRDefault="004352DF" w:rsidP="004352DF">
                      <w:pPr>
                        <w:autoSpaceDE w:val="0"/>
                        <w:autoSpaceDN w:val="0"/>
                        <w:adjustRightInd w:val="0"/>
                        <w:spacing w:after="0"/>
                        <w:rPr>
                          <w:rFonts w:ascii="Arial" w:hAnsi="Arial" w:cs="Arial"/>
                          <w:color w:val="000000"/>
                          <w:sz w:val="23"/>
                          <w:szCs w:val="23"/>
                          <w:lang w:val="en-US" w:eastAsia="ko-KR"/>
                        </w:rPr>
                      </w:pPr>
                      <w:proofErr w:type="gramStart"/>
                      <w:r w:rsidRPr="004352DF">
                        <w:rPr>
                          <w:rFonts w:ascii="Arial" w:hAnsi="Arial" w:cs="Arial"/>
                          <w:color w:val="000000"/>
                          <w:sz w:val="23"/>
                          <w:szCs w:val="23"/>
                          <w:lang w:val="en-US" w:eastAsia="ko-KR"/>
                        </w:rPr>
                        <w:t xml:space="preserve">8.5.1.2 </w:t>
                      </w:r>
                      <w:r>
                        <w:rPr>
                          <w:rFonts w:ascii="Arial" w:hAnsi="Arial" w:cs="Arial"/>
                          <w:color w:val="000000"/>
                          <w:sz w:val="23"/>
                          <w:szCs w:val="23"/>
                          <w:lang w:val="en-US" w:eastAsia="ko-KR"/>
                        </w:rPr>
                        <w:t xml:space="preserve"> </w:t>
                      </w:r>
                      <w:r w:rsidRPr="004352DF">
                        <w:rPr>
                          <w:rFonts w:ascii="Arial" w:hAnsi="Arial" w:cs="Arial"/>
                          <w:color w:val="000000"/>
                          <w:sz w:val="23"/>
                          <w:szCs w:val="23"/>
                          <w:lang w:val="en-US" w:eastAsia="ko-KR"/>
                        </w:rPr>
                        <w:t>Summary</w:t>
                      </w:r>
                      <w:proofErr w:type="gramEnd"/>
                      <w:r w:rsidRPr="004352DF">
                        <w:rPr>
                          <w:rFonts w:ascii="Arial" w:hAnsi="Arial" w:cs="Arial"/>
                          <w:color w:val="000000"/>
                          <w:sz w:val="23"/>
                          <w:szCs w:val="23"/>
                          <w:lang w:val="en-US" w:eastAsia="ko-KR"/>
                        </w:rPr>
                        <w:t xml:space="preserve"> for Scenario 2 – </w:t>
                      </w:r>
                      <w:proofErr w:type="spellStart"/>
                      <w:r w:rsidRPr="004352DF">
                        <w:rPr>
                          <w:rFonts w:ascii="Arial" w:hAnsi="Arial" w:cs="Arial"/>
                          <w:color w:val="000000"/>
                          <w:sz w:val="23"/>
                          <w:szCs w:val="23"/>
                          <w:lang w:val="en-US" w:eastAsia="ko-KR"/>
                        </w:rPr>
                        <w:t>UMi</w:t>
                      </w:r>
                      <w:proofErr w:type="spellEnd"/>
                      <w:r w:rsidRPr="004352DF">
                        <w:rPr>
                          <w:rFonts w:ascii="Arial" w:hAnsi="Arial" w:cs="Arial"/>
                          <w:color w:val="000000"/>
                          <w:sz w:val="23"/>
                          <w:szCs w:val="23"/>
                          <w:lang w:val="en-US" w:eastAsia="ko-KR"/>
                        </w:rPr>
                        <w:t xml:space="preserve"> </w:t>
                      </w:r>
                    </w:p>
                    <w:p w14:paraId="326B37DC" w14:textId="77777777" w:rsidR="004352DF" w:rsidRDefault="004352DF" w:rsidP="004352DF">
                      <w:pPr>
                        <w:autoSpaceDE w:val="0"/>
                        <w:autoSpaceDN w:val="0"/>
                        <w:adjustRightInd w:val="0"/>
                        <w:spacing w:after="0"/>
                        <w:rPr>
                          <w:color w:val="000000"/>
                          <w:lang w:val="en-US" w:eastAsia="ko-KR"/>
                        </w:rPr>
                      </w:pPr>
                    </w:p>
                    <w:p w14:paraId="0120CBB5" w14:textId="253D0EBD" w:rsidR="004352DF" w:rsidRPr="004352DF" w:rsidRDefault="004352DF" w:rsidP="004352DF">
                      <w:pPr>
                        <w:autoSpaceDE w:val="0"/>
                        <w:autoSpaceDN w:val="0"/>
                        <w:adjustRightInd w:val="0"/>
                        <w:spacing w:after="0"/>
                        <w:rPr>
                          <w:rFonts w:ascii="Arial" w:hAnsi="Arial" w:cs="Arial"/>
                          <w:color w:val="000000"/>
                          <w:lang w:val="en-US" w:eastAsia="ko-KR"/>
                        </w:rPr>
                      </w:pPr>
                      <w:r w:rsidRPr="004352DF">
                        <w:rPr>
                          <w:color w:val="000000"/>
                          <w:lang w:val="en-US" w:eastAsia="ko-KR"/>
                        </w:rPr>
                        <w:t xml:space="preserve">For the </w:t>
                      </w:r>
                      <w:proofErr w:type="spellStart"/>
                      <w:r w:rsidRPr="004352DF">
                        <w:rPr>
                          <w:color w:val="000000"/>
                          <w:lang w:val="en-US" w:eastAsia="ko-KR"/>
                        </w:rPr>
                        <w:t>UMi</w:t>
                      </w:r>
                      <w:proofErr w:type="spellEnd"/>
                      <w:r w:rsidRPr="004352DF">
                        <w:rPr>
                          <w:color w:val="000000"/>
                          <w:lang w:val="en-US" w:eastAsia="ko-KR"/>
                        </w:rPr>
                        <w:t xml:space="preserve"> scenario, channel models and simulation assumptions, the following can be observed for horizontal accuracy as described in section 5 of the TR for regulatory and commercial requirements: </w:t>
                      </w:r>
                    </w:p>
                    <w:p w14:paraId="0E9586E7" w14:textId="77777777" w:rsidR="004352DF" w:rsidRDefault="004352DF" w:rsidP="004352DF">
                      <w:pPr>
                        <w:autoSpaceDE w:val="0"/>
                        <w:autoSpaceDN w:val="0"/>
                        <w:adjustRightInd w:val="0"/>
                        <w:spacing w:after="0"/>
                        <w:rPr>
                          <w:color w:val="000000"/>
                          <w:lang w:val="en-US" w:eastAsia="ko-KR"/>
                        </w:rPr>
                      </w:pPr>
                    </w:p>
                    <w:p w14:paraId="62337E99" w14:textId="19650B4F" w:rsidR="004352DF" w:rsidRDefault="004352DF" w:rsidP="004352DF">
                      <w:pPr>
                        <w:autoSpaceDE w:val="0"/>
                        <w:autoSpaceDN w:val="0"/>
                        <w:adjustRightInd w:val="0"/>
                        <w:spacing w:after="0"/>
                        <w:ind w:left="284"/>
                        <w:rPr>
                          <w:color w:val="000000"/>
                          <w:lang w:val="en-US" w:eastAsia="ko-KR"/>
                        </w:rPr>
                      </w:pPr>
                      <w:r w:rsidRPr="004352DF">
                        <w:rPr>
                          <w:color w:val="000000"/>
                          <w:lang w:val="en-US" w:eastAsia="ko-KR"/>
                        </w:rPr>
                        <w:t xml:space="preserve">- For scenario 2 the evaluations from 12 out of 12 sources showed that DL-TDOA can meet the regulatory requirements for FR1 and FR2. </w:t>
                      </w:r>
                    </w:p>
                    <w:p w14:paraId="546FA2CD" w14:textId="77777777" w:rsidR="004352DF" w:rsidRPr="004352DF" w:rsidRDefault="004352DF" w:rsidP="004352DF">
                      <w:pPr>
                        <w:autoSpaceDE w:val="0"/>
                        <w:autoSpaceDN w:val="0"/>
                        <w:adjustRightInd w:val="0"/>
                        <w:spacing w:after="0"/>
                        <w:ind w:left="284"/>
                        <w:rPr>
                          <w:rFonts w:ascii="Arial" w:hAnsi="Arial" w:cs="Arial"/>
                          <w:color w:val="000000"/>
                          <w:lang w:val="en-US" w:eastAsia="ko-KR"/>
                        </w:rPr>
                      </w:pPr>
                    </w:p>
                    <w:p w14:paraId="6C8C94FD" w14:textId="59C568CA" w:rsidR="004352DF" w:rsidRDefault="004352DF" w:rsidP="004352DF">
                      <w:pPr>
                        <w:autoSpaceDE w:val="0"/>
                        <w:autoSpaceDN w:val="0"/>
                        <w:adjustRightInd w:val="0"/>
                        <w:spacing w:after="0"/>
                        <w:ind w:left="284"/>
                        <w:rPr>
                          <w:color w:val="000000"/>
                          <w:lang w:val="en-US" w:eastAsia="ko-KR"/>
                        </w:rPr>
                      </w:pPr>
                      <w:r w:rsidRPr="004352DF">
                        <w:rPr>
                          <w:color w:val="000000"/>
                          <w:lang w:val="en-US" w:eastAsia="ko-KR"/>
                        </w:rPr>
                        <w:t xml:space="preserve">- For scenario 2, the evaluations from 12, out of 12 sources showed that DL-TDOA can meet the commercial requirement, when no synchronization error is included in the evaluation for FR1 and FR2. </w:t>
                      </w:r>
                    </w:p>
                    <w:p w14:paraId="0551F0D1" w14:textId="77777777" w:rsidR="004352DF" w:rsidRPr="004352DF" w:rsidRDefault="004352DF" w:rsidP="004352DF">
                      <w:pPr>
                        <w:autoSpaceDE w:val="0"/>
                        <w:autoSpaceDN w:val="0"/>
                        <w:adjustRightInd w:val="0"/>
                        <w:spacing w:after="0"/>
                        <w:ind w:left="284"/>
                        <w:rPr>
                          <w:rFonts w:ascii="Arial" w:hAnsi="Arial" w:cs="Arial"/>
                          <w:color w:val="000000"/>
                          <w:lang w:val="en-US" w:eastAsia="ko-KR"/>
                        </w:rPr>
                      </w:pPr>
                    </w:p>
                    <w:p w14:paraId="7A55F7D2" w14:textId="683C984E" w:rsidR="004352DF" w:rsidRPr="009C5EB9" w:rsidRDefault="004352DF" w:rsidP="004352DF">
                      <w:pPr>
                        <w:ind w:left="284"/>
                        <w:rPr>
                          <w:rFonts w:eastAsia="Batang"/>
                          <w:b/>
                          <w:lang w:eastAsia="zh-CN"/>
                        </w:rPr>
                      </w:pPr>
                      <w:r w:rsidRPr="004352DF">
                        <w:rPr>
                          <w:color w:val="000000"/>
                          <w:lang w:val="en-US" w:eastAsia="ko-KR"/>
                        </w:rPr>
                        <w:t>- When synchronization error is modeled, the DL-TDOA evaluations from 0 out of 6 sources showed the commercial requirements as described in section 5 of the TR can be met for FR1 and FR2.</w:t>
                      </w:r>
                    </w:p>
                  </w:txbxContent>
                </v:textbox>
                <w10:anchorlock/>
              </v:shape>
            </w:pict>
          </mc:Fallback>
        </mc:AlternateContent>
      </w:r>
    </w:p>
    <w:p w14:paraId="17EED60D" w14:textId="252B5608" w:rsidR="00AF3D51" w:rsidRDefault="00D3192B" w:rsidP="00AF3D51">
      <w:r>
        <w:t xml:space="preserve">Hence, while all sourcing companies demonstrated that both regulatory and commercial requirements can be met in UMi scenario in FR1 and FR2 with perfect NW synchronization, none showed a satisfactory outcome with NW synchronization error. </w:t>
      </w:r>
    </w:p>
    <w:p w14:paraId="0A9047DD" w14:textId="5588DA64" w:rsidR="00D3192B" w:rsidRDefault="00D3192B" w:rsidP="00AF3D51">
      <w:r>
        <w:t xml:space="preserve">Here, we provide further system level simulation results evaluating the impact of NW synchronization error in scenario 2 for both FR1 and FR2 from the perspective of regulatory requirements which is </w:t>
      </w:r>
      <w:r w:rsidR="00154D17">
        <w:t xml:space="preserve">even </w:t>
      </w:r>
      <w:r>
        <w:t xml:space="preserve">more relaxed compared to commercial requirements. </w:t>
      </w:r>
    </w:p>
    <w:p w14:paraId="3EC4CDBB" w14:textId="4AD3F117" w:rsidR="00D3192B" w:rsidRDefault="00D3192B" w:rsidP="00AF3D51">
      <w:r>
        <w:t xml:space="preserve">Figure 1 plots the distribution of positioning error as a function of T1, NW synchronization error, in Scenario 2 (UMi) for FR1 with comb-2, 2-symbol PRS, 100 MHz bandwidth, and PRS occasion periodicity of 160ms. Most of the assumptions in SI are valid here as well. In FR1, gNB is assumed to have 8 beams for DL PRS transmission and perfect PRS muting is also assumed. </w:t>
      </w:r>
    </w:p>
    <w:p w14:paraId="3FD4E5EF" w14:textId="13A3FEBC" w:rsidR="00111A90" w:rsidRDefault="00111A90" w:rsidP="00AF3D51">
      <w:r>
        <w:t>The plots show that 80-percentile positioning error in scenario 2 are:</w:t>
      </w:r>
    </w:p>
    <w:p w14:paraId="15703C67" w14:textId="3008D622" w:rsidR="00111A90" w:rsidRPr="00111A90" w:rsidRDefault="00111A90" w:rsidP="00111A90">
      <w:pPr>
        <w:pStyle w:val="ListParagraph"/>
        <w:numPr>
          <w:ilvl w:val="0"/>
          <w:numId w:val="36"/>
        </w:numPr>
        <w:rPr>
          <w:sz w:val="20"/>
          <w:szCs w:val="20"/>
        </w:rPr>
      </w:pPr>
      <w:r w:rsidRPr="00111A90">
        <w:rPr>
          <w:sz w:val="20"/>
          <w:szCs w:val="20"/>
        </w:rPr>
        <w:t>14 m with T1=0 ns</w:t>
      </w:r>
    </w:p>
    <w:p w14:paraId="0C610EC6" w14:textId="5E0BB489" w:rsidR="00111A90" w:rsidRPr="00111A90" w:rsidRDefault="00111A90" w:rsidP="00111A90">
      <w:pPr>
        <w:pStyle w:val="ListParagraph"/>
        <w:numPr>
          <w:ilvl w:val="0"/>
          <w:numId w:val="36"/>
        </w:numPr>
        <w:rPr>
          <w:sz w:val="20"/>
          <w:szCs w:val="20"/>
        </w:rPr>
      </w:pPr>
      <w:r w:rsidRPr="00111A90">
        <w:rPr>
          <w:sz w:val="20"/>
          <w:szCs w:val="20"/>
        </w:rPr>
        <w:t>27.5 m with T1=50 ns</w:t>
      </w:r>
    </w:p>
    <w:p w14:paraId="496A28B1" w14:textId="7B268AEF" w:rsidR="00111A90" w:rsidRPr="00111A90" w:rsidRDefault="00111A90" w:rsidP="00111A90">
      <w:pPr>
        <w:pStyle w:val="ListParagraph"/>
        <w:numPr>
          <w:ilvl w:val="0"/>
          <w:numId w:val="36"/>
        </w:numPr>
        <w:rPr>
          <w:sz w:val="20"/>
          <w:szCs w:val="20"/>
        </w:rPr>
      </w:pPr>
      <w:r w:rsidRPr="00111A90">
        <w:rPr>
          <w:sz w:val="20"/>
          <w:szCs w:val="20"/>
        </w:rPr>
        <w:t>49.6 m with T</w:t>
      </w:r>
      <w:r>
        <w:rPr>
          <w:sz w:val="20"/>
          <w:szCs w:val="20"/>
        </w:rPr>
        <w:t>1</w:t>
      </w:r>
      <w:r w:rsidRPr="00111A90">
        <w:rPr>
          <w:sz w:val="20"/>
          <w:szCs w:val="20"/>
        </w:rPr>
        <w:t>=100 ns</w:t>
      </w:r>
    </w:p>
    <w:p w14:paraId="61C44D26" w14:textId="5489F595" w:rsidR="00111A90" w:rsidRDefault="00111A90" w:rsidP="00111A90">
      <w:pPr>
        <w:pStyle w:val="ListParagraph"/>
        <w:numPr>
          <w:ilvl w:val="0"/>
          <w:numId w:val="36"/>
        </w:numPr>
        <w:rPr>
          <w:sz w:val="20"/>
          <w:szCs w:val="20"/>
        </w:rPr>
      </w:pPr>
      <w:r w:rsidRPr="00111A90">
        <w:rPr>
          <w:sz w:val="20"/>
          <w:szCs w:val="20"/>
        </w:rPr>
        <w:t>70.2 m with T</w:t>
      </w:r>
      <w:r>
        <w:rPr>
          <w:sz w:val="20"/>
          <w:szCs w:val="20"/>
        </w:rPr>
        <w:t>1</w:t>
      </w:r>
      <w:r w:rsidRPr="00111A90">
        <w:rPr>
          <w:sz w:val="20"/>
          <w:szCs w:val="20"/>
        </w:rPr>
        <w:t>=150 ns</w:t>
      </w:r>
    </w:p>
    <w:p w14:paraId="52D3C01B" w14:textId="2749ABB6" w:rsidR="00111A90" w:rsidRDefault="00111A90" w:rsidP="00111A90"/>
    <w:p w14:paraId="504D293A" w14:textId="05AC012C" w:rsidR="00111A90" w:rsidRDefault="00111A90" w:rsidP="00111A90">
      <w:r>
        <w:t xml:space="preserve">In other words, with NW synchronization error greater than T1=100 ns, even regulatory requirements (&lt;50 m) cannot be met. The existing synchronization requirements is significantly larger than what is required for positioning. </w:t>
      </w:r>
    </w:p>
    <w:p w14:paraId="3780CE02" w14:textId="581C7B51" w:rsidR="00111A90" w:rsidRPr="009A4903" w:rsidRDefault="00111A90" w:rsidP="00111A90">
      <w:pPr>
        <w:rPr>
          <w:b/>
          <w:bCs/>
        </w:rPr>
      </w:pPr>
      <w:r w:rsidRPr="009A4903">
        <w:rPr>
          <w:b/>
          <w:bCs/>
        </w:rPr>
        <w:lastRenderedPageBreak/>
        <w:t xml:space="preserve">Observation 1. </w:t>
      </w:r>
      <w:r w:rsidR="001F2020">
        <w:rPr>
          <w:b/>
          <w:bCs/>
        </w:rPr>
        <w:t xml:space="preserve">With no synchronization error, 80-percentile 2D positioning accuracy requirement for the simulated UMi scenario in FR1 is 14m. </w:t>
      </w:r>
      <w:r w:rsidRPr="009A4903">
        <w:rPr>
          <w:b/>
          <w:bCs/>
        </w:rPr>
        <w:t>With NW synchronization error greater than T1=100 ns, even regulatory requirements (&lt;50 m) cannot be met</w:t>
      </w:r>
      <w:r w:rsidR="009A4903" w:rsidRPr="009A4903">
        <w:rPr>
          <w:b/>
          <w:bCs/>
        </w:rPr>
        <w:t xml:space="preserve"> for UMi scenario in FR1</w:t>
      </w:r>
      <w:r w:rsidRPr="009A4903">
        <w:rPr>
          <w:b/>
          <w:bCs/>
        </w:rPr>
        <w:t xml:space="preserve">. </w:t>
      </w:r>
    </w:p>
    <w:p w14:paraId="2AF8A491" w14:textId="0B0CEDC6" w:rsidR="00111A90" w:rsidRPr="00111A90" w:rsidRDefault="00111A90" w:rsidP="00111A90"/>
    <w:p w14:paraId="26098822" w14:textId="77777777" w:rsidR="00B11797" w:rsidRDefault="00B11797" w:rsidP="004352DF">
      <w:pPr>
        <w:keepNext/>
        <w:jc w:val="center"/>
      </w:pPr>
      <w:r>
        <w:rPr>
          <w:noProof/>
          <w:lang w:val="en-US"/>
        </w:rPr>
        <w:drawing>
          <wp:inline distT="0" distB="0" distL="0" distR="0" wp14:anchorId="18FAC6BA" wp14:editId="3CD88735">
            <wp:extent cx="4246328" cy="3562710"/>
            <wp:effectExtent l="0" t="0" r="1905" b="0"/>
            <wp:docPr id="2" name="Picture 2"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NB_sync_error.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253550" cy="3568770"/>
                    </a:xfrm>
                    <a:prstGeom prst="rect">
                      <a:avLst/>
                    </a:prstGeom>
                  </pic:spPr>
                </pic:pic>
              </a:graphicData>
            </a:graphic>
          </wp:inline>
        </w:drawing>
      </w:r>
    </w:p>
    <w:p w14:paraId="0E09332B" w14:textId="4858BE3A" w:rsidR="00B11797" w:rsidRDefault="00B11797" w:rsidP="00B11797">
      <w:pPr>
        <w:pStyle w:val="Caption"/>
        <w:jc w:val="center"/>
      </w:pPr>
      <w:r>
        <w:t xml:space="preserve">Figure </w:t>
      </w:r>
      <w:r>
        <w:fldChar w:fldCharType="begin"/>
      </w:r>
      <w:r>
        <w:instrText xml:space="preserve"> SEQ Figure \* ARABIC </w:instrText>
      </w:r>
      <w:r>
        <w:fldChar w:fldCharType="separate"/>
      </w:r>
      <w:r w:rsidR="00271E3F">
        <w:rPr>
          <w:noProof/>
        </w:rPr>
        <w:t>1</w:t>
      </w:r>
      <w:r>
        <w:fldChar w:fldCharType="end"/>
      </w:r>
      <w:r>
        <w:t xml:space="preserve"> Impact of NW synchronization error on NR positioning performance – UMi FR1</w:t>
      </w:r>
    </w:p>
    <w:p w14:paraId="5047CD83" w14:textId="1BEF43F9" w:rsidR="009A4903" w:rsidRDefault="009A4903" w:rsidP="009A4903">
      <w:r>
        <w:t xml:space="preserve">Figure 2 plots the distribution of positioning error as a function of T1, NW synchronization error, in Scenario 2 (UMi) for FR2 with comb-2, 2-symbol PRS, 400 MHz bandwidth, and PRS occasion periodicity of 160ms. Most of the assumptions in SI are valid here as well. In FR2, gNB is assumed to have 64 beams for DL PRS transmission and perfect PRS muting is also assumed. </w:t>
      </w:r>
    </w:p>
    <w:p w14:paraId="6DA3ED88" w14:textId="77777777" w:rsidR="009A4903" w:rsidRDefault="009A4903" w:rsidP="009A4903">
      <w:r>
        <w:t>The plots show that 80-percentile positioning error in scenario 2 are:</w:t>
      </w:r>
    </w:p>
    <w:p w14:paraId="44DC7D88" w14:textId="7AD820B5" w:rsidR="009A4903" w:rsidRPr="00111A90" w:rsidRDefault="009A4903" w:rsidP="009A4903">
      <w:pPr>
        <w:pStyle w:val="ListParagraph"/>
        <w:numPr>
          <w:ilvl w:val="0"/>
          <w:numId w:val="36"/>
        </w:numPr>
        <w:rPr>
          <w:sz w:val="20"/>
          <w:szCs w:val="20"/>
        </w:rPr>
      </w:pPr>
      <w:r w:rsidRPr="00111A90">
        <w:rPr>
          <w:sz w:val="20"/>
          <w:szCs w:val="20"/>
        </w:rPr>
        <w:t>1</w:t>
      </w:r>
      <w:r>
        <w:rPr>
          <w:sz w:val="20"/>
          <w:szCs w:val="20"/>
        </w:rPr>
        <w:t>3</w:t>
      </w:r>
      <w:r w:rsidRPr="00111A90">
        <w:rPr>
          <w:sz w:val="20"/>
          <w:szCs w:val="20"/>
        </w:rPr>
        <w:t xml:space="preserve"> m with T1=0 ns</w:t>
      </w:r>
    </w:p>
    <w:p w14:paraId="59C89F73" w14:textId="3BA7586C" w:rsidR="009A4903" w:rsidRPr="00111A90" w:rsidRDefault="009A4903" w:rsidP="009A4903">
      <w:pPr>
        <w:pStyle w:val="ListParagraph"/>
        <w:numPr>
          <w:ilvl w:val="0"/>
          <w:numId w:val="36"/>
        </w:numPr>
        <w:rPr>
          <w:sz w:val="20"/>
          <w:szCs w:val="20"/>
        </w:rPr>
      </w:pPr>
      <w:r>
        <w:rPr>
          <w:sz w:val="20"/>
          <w:szCs w:val="20"/>
        </w:rPr>
        <w:t>30.6</w:t>
      </w:r>
      <w:r w:rsidRPr="00111A90">
        <w:rPr>
          <w:sz w:val="20"/>
          <w:szCs w:val="20"/>
        </w:rPr>
        <w:t xml:space="preserve"> m with T1=50 ns</w:t>
      </w:r>
    </w:p>
    <w:p w14:paraId="0099DED7" w14:textId="2502F85A" w:rsidR="009A4903" w:rsidRPr="00111A90" w:rsidRDefault="009A4903" w:rsidP="009A4903">
      <w:pPr>
        <w:pStyle w:val="ListParagraph"/>
        <w:numPr>
          <w:ilvl w:val="0"/>
          <w:numId w:val="36"/>
        </w:numPr>
        <w:rPr>
          <w:sz w:val="20"/>
          <w:szCs w:val="20"/>
        </w:rPr>
      </w:pPr>
      <w:r>
        <w:rPr>
          <w:sz w:val="20"/>
          <w:szCs w:val="20"/>
        </w:rPr>
        <w:t>51.5</w:t>
      </w:r>
      <w:r w:rsidRPr="00111A90">
        <w:rPr>
          <w:sz w:val="20"/>
          <w:szCs w:val="20"/>
        </w:rPr>
        <w:t xml:space="preserve"> m with T</w:t>
      </w:r>
      <w:r>
        <w:rPr>
          <w:sz w:val="20"/>
          <w:szCs w:val="20"/>
        </w:rPr>
        <w:t>1</w:t>
      </w:r>
      <w:r w:rsidRPr="00111A90">
        <w:rPr>
          <w:sz w:val="20"/>
          <w:szCs w:val="20"/>
        </w:rPr>
        <w:t>=100 ns</w:t>
      </w:r>
    </w:p>
    <w:p w14:paraId="2A068C57" w14:textId="57CFECB3" w:rsidR="009A4903" w:rsidRDefault="009A4903" w:rsidP="009A4903">
      <w:pPr>
        <w:pStyle w:val="ListParagraph"/>
        <w:numPr>
          <w:ilvl w:val="0"/>
          <w:numId w:val="36"/>
        </w:numPr>
        <w:rPr>
          <w:sz w:val="20"/>
          <w:szCs w:val="20"/>
        </w:rPr>
      </w:pPr>
      <w:r>
        <w:rPr>
          <w:sz w:val="20"/>
          <w:szCs w:val="20"/>
        </w:rPr>
        <w:t>69</w:t>
      </w:r>
      <w:r w:rsidRPr="00111A90">
        <w:rPr>
          <w:sz w:val="20"/>
          <w:szCs w:val="20"/>
        </w:rPr>
        <w:t xml:space="preserve"> m with T</w:t>
      </w:r>
      <w:r>
        <w:rPr>
          <w:sz w:val="20"/>
          <w:szCs w:val="20"/>
        </w:rPr>
        <w:t>1</w:t>
      </w:r>
      <w:r w:rsidRPr="00111A90">
        <w:rPr>
          <w:sz w:val="20"/>
          <w:szCs w:val="20"/>
        </w:rPr>
        <w:t>=150 ns</w:t>
      </w:r>
    </w:p>
    <w:p w14:paraId="58429BDB" w14:textId="77777777" w:rsidR="009A4903" w:rsidRDefault="009A4903" w:rsidP="009A4903"/>
    <w:p w14:paraId="0E61F305" w14:textId="1F656169" w:rsidR="009A4903" w:rsidRDefault="009A4903" w:rsidP="009A4903">
      <w:r>
        <w:t xml:space="preserve">This is a similar outcome as in FR1 despite 400MHz PRS BW. With NW synchronization error greater than T1=100 ns, even regulatory requirements (&lt;50 m) cannot be met. The existing synchronization requirements is significantly larger than what is required for positioning. </w:t>
      </w:r>
    </w:p>
    <w:p w14:paraId="5EB4C980" w14:textId="041817A2" w:rsidR="009A4903" w:rsidRDefault="009A4903" w:rsidP="009A4903">
      <w:pPr>
        <w:rPr>
          <w:b/>
          <w:bCs/>
        </w:rPr>
      </w:pPr>
      <w:r w:rsidRPr="009A4903">
        <w:rPr>
          <w:b/>
          <w:bCs/>
        </w:rPr>
        <w:t xml:space="preserve">Observation </w:t>
      </w:r>
      <w:r w:rsidR="003634C1">
        <w:rPr>
          <w:b/>
          <w:bCs/>
        </w:rPr>
        <w:t>2</w:t>
      </w:r>
      <w:r w:rsidRPr="009A4903">
        <w:rPr>
          <w:b/>
          <w:bCs/>
        </w:rPr>
        <w:t xml:space="preserve">. </w:t>
      </w:r>
      <w:r w:rsidR="00800B4A">
        <w:rPr>
          <w:b/>
          <w:bCs/>
        </w:rPr>
        <w:t xml:space="preserve">With no synchronization error, 80-percentile 2D positioning accuracy requirement for the simulated UMi scenario in FR2 is 13m. </w:t>
      </w:r>
      <w:r w:rsidRPr="009A4903">
        <w:rPr>
          <w:b/>
          <w:bCs/>
        </w:rPr>
        <w:t>With NW synchronization error greater than T1=100 ns, even regulatory requirements (&lt;50 m) cannot be met for UMi scenario in FR</w:t>
      </w:r>
      <w:r>
        <w:rPr>
          <w:b/>
          <w:bCs/>
        </w:rPr>
        <w:t>2</w:t>
      </w:r>
      <w:r w:rsidRPr="009A4903">
        <w:rPr>
          <w:b/>
          <w:bCs/>
        </w:rPr>
        <w:t xml:space="preserve">. </w:t>
      </w:r>
    </w:p>
    <w:p w14:paraId="3E9A19F3" w14:textId="025BE3EB" w:rsidR="009358C6" w:rsidRDefault="000B7371" w:rsidP="009358C6">
      <w:pPr>
        <w:keepNext/>
        <w:jc w:val="center"/>
      </w:pPr>
      <w:r>
        <w:rPr>
          <w:noProof/>
        </w:rPr>
        <w:lastRenderedPageBreak/>
        <w:drawing>
          <wp:inline distT="0" distB="0" distL="0" distR="0" wp14:anchorId="1A435DA7" wp14:editId="7D3C253E">
            <wp:extent cx="4511615" cy="3785288"/>
            <wp:effectExtent l="0" t="0" r="3810" b="5715"/>
            <wp:docPr id="6" name="Picture 6"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NB_sync_error2.jpg"/>
                    <pic:cNvPicPr/>
                  </pic:nvPicPr>
                  <pic:blipFill>
                    <a:blip r:embed="rId9">
                      <a:extLst>
                        <a:ext uri="{28A0092B-C50C-407E-A947-70E740481C1C}">
                          <a14:useLocalDpi xmlns:a14="http://schemas.microsoft.com/office/drawing/2010/main" val="0"/>
                        </a:ext>
                      </a:extLst>
                    </a:blip>
                    <a:stretch>
                      <a:fillRect/>
                    </a:stretch>
                  </pic:blipFill>
                  <pic:spPr>
                    <a:xfrm>
                      <a:off x="0" y="0"/>
                      <a:ext cx="4520043" cy="3792359"/>
                    </a:xfrm>
                    <a:prstGeom prst="rect">
                      <a:avLst/>
                    </a:prstGeom>
                  </pic:spPr>
                </pic:pic>
              </a:graphicData>
            </a:graphic>
          </wp:inline>
        </w:drawing>
      </w:r>
    </w:p>
    <w:p w14:paraId="37982528" w14:textId="63A5941D" w:rsidR="009358C6" w:rsidRDefault="009358C6" w:rsidP="009358C6">
      <w:pPr>
        <w:pStyle w:val="Caption"/>
        <w:jc w:val="center"/>
      </w:pPr>
      <w:r>
        <w:t xml:space="preserve">Figure </w:t>
      </w:r>
      <w:r>
        <w:fldChar w:fldCharType="begin"/>
      </w:r>
      <w:r>
        <w:instrText xml:space="preserve"> SEQ Figure \* ARABIC </w:instrText>
      </w:r>
      <w:r>
        <w:fldChar w:fldCharType="separate"/>
      </w:r>
      <w:r w:rsidR="00271E3F">
        <w:rPr>
          <w:noProof/>
        </w:rPr>
        <w:t>2</w:t>
      </w:r>
      <w:r>
        <w:fldChar w:fldCharType="end"/>
      </w:r>
      <w:r>
        <w:t xml:space="preserve"> Impact of NW synchronization error on NR positioning performance – UMi FR2</w:t>
      </w:r>
    </w:p>
    <w:p w14:paraId="376AC509" w14:textId="08EB9168" w:rsidR="009358C6" w:rsidRDefault="00214095" w:rsidP="00214095">
      <w:pPr>
        <w:pStyle w:val="Heading2"/>
      </w:pPr>
      <w:r>
        <w:t xml:space="preserve"> Further discussion</w:t>
      </w:r>
    </w:p>
    <w:p w14:paraId="5035F342" w14:textId="062E01CC" w:rsidR="007B6A7A" w:rsidRDefault="007B6A7A" w:rsidP="007B6A7A">
      <w:r>
        <w:t>In [3], some observations were list to counter-argue the need for gNB requirements. It was mentioned that NW is homogenous compared to UE population and will exhibit a similar receiver performance and thus specification of minim performance requirements has not the same relevance as for DL. We disagree with this point and believe a homogenous NW can still exhibit a consistently poor performance in NR positioning due to large NW phase sync error and thus a minimum performance requirement is needed</w:t>
      </w:r>
      <w:r w:rsidR="0055006F">
        <w:t xml:space="preserve"> to prevent it</w:t>
      </w:r>
      <w:r>
        <w:t xml:space="preserve">. Furthermore, it was mentioned that NW may apply a combination of positioning technologies to satisfy positioning performance requirements and thus setting requirements for one positioning technique is not an objective. We also disagree with this point; combination of positioning technologies typically yields more measurements (RAT dependent and independent) by UE. This effectively means imposing more complexity and power consumption on UE to alleviate shortcomings of the NW. </w:t>
      </w:r>
    </w:p>
    <w:p w14:paraId="2BECDF80" w14:textId="648DB0E2" w:rsidR="00AF31F8" w:rsidRDefault="00AF31F8" w:rsidP="007B6A7A">
      <w:r>
        <w:t>[3] also cites LTE precedent for not having defined any eNB requirements in OTDOA positioning. We point out that NR positioning performance requirements are more stringent compared to LTE. Moreover, the lack of any eNB requirements in LTE positioning has resulted in very limited deployment of this once-promising technology</w:t>
      </w:r>
      <w:r w:rsidR="0055006F">
        <w:t xml:space="preserve"> across the world</w:t>
      </w:r>
      <w:r>
        <w:t xml:space="preserve">. By taking a similar path in NR and not defining any gNB requirements, the faith of TDOA in NR will not be any brighter.  </w:t>
      </w:r>
    </w:p>
    <w:p w14:paraId="2AC7B9A0" w14:textId="583939AF" w:rsidR="0055006F" w:rsidRPr="00D25C97" w:rsidRDefault="0055006F" w:rsidP="007B6A7A">
      <w:r w:rsidRPr="00D25C97">
        <w:t xml:space="preserve">Nevertheless, it is understood that NW phase synchronization was also discussed in R15 timeframe and </w:t>
      </w:r>
      <w:r w:rsidR="006645AE" w:rsidRPr="00D25C97">
        <w:t xml:space="preserve">it was concluded that significant tightening of MRTD compared to earlier releases in LTE (i.e., 3 us) has challenges. In our view, RAN4 should discuss what can realistically be achieved for improving MRTD requirements as it directly impacts the DL-TDOA performance. If gNB phase synchronization requirements remain at </w:t>
      </w:r>
      <w:r w:rsidR="001B2A27" w:rsidRPr="00D25C97">
        <w:t xml:space="preserve">R15 level, RAN4 work on DL-TDOA requirements should be deprioritized compared to other positioning techniques. </w:t>
      </w:r>
      <w:r w:rsidR="00945BF2" w:rsidRPr="00D25C97">
        <w:t>For instance, multi-RTT positioning technique does not require tight synchronization among cells and can be pursued with higher priority in RAN4.</w:t>
      </w:r>
      <w:r w:rsidR="00C10071" w:rsidRPr="00D25C97">
        <w:t xml:space="preserve"> We will discuss this in the next section.</w:t>
      </w:r>
    </w:p>
    <w:p w14:paraId="19BBAF7B" w14:textId="2816B8BF" w:rsidR="009A4903" w:rsidRPr="001B2A27" w:rsidRDefault="009358C6" w:rsidP="009A4903">
      <w:pPr>
        <w:rPr>
          <w:b/>
          <w:bCs/>
        </w:rPr>
      </w:pPr>
      <w:r w:rsidRPr="00D25C97">
        <w:rPr>
          <w:b/>
          <w:bCs/>
        </w:rPr>
        <w:t xml:space="preserve">Proposal 1. RAN4 to discuss gNB </w:t>
      </w:r>
      <w:r w:rsidR="006645AE" w:rsidRPr="00D25C97">
        <w:rPr>
          <w:b/>
          <w:bCs/>
        </w:rPr>
        <w:t xml:space="preserve">phase </w:t>
      </w:r>
      <w:r w:rsidRPr="00D25C97">
        <w:rPr>
          <w:b/>
          <w:bCs/>
        </w:rPr>
        <w:t xml:space="preserve">synchronization </w:t>
      </w:r>
      <w:r w:rsidR="006645AE" w:rsidRPr="00D25C97">
        <w:rPr>
          <w:b/>
          <w:bCs/>
        </w:rPr>
        <w:t xml:space="preserve">error </w:t>
      </w:r>
      <w:r w:rsidRPr="00D25C97">
        <w:rPr>
          <w:b/>
          <w:bCs/>
        </w:rPr>
        <w:t xml:space="preserve">requirements for TDOA positioning technique. </w:t>
      </w:r>
      <w:r w:rsidR="001B2A27" w:rsidRPr="00D25C97">
        <w:rPr>
          <w:b/>
          <w:bCs/>
        </w:rPr>
        <w:t>If gNB phase synchronization requirements remain at R15 level, RAN4 work on DL-TDOA requirements should be deprioritized compared to other positioning techniques.</w:t>
      </w:r>
    </w:p>
    <w:p w14:paraId="69ECFCF8" w14:textId="723ABB50" w:rsidR="00214095" w:rsidRDefault="00752E14" w:rsidP="00214095">
      <w:pPr>
        <w:pStyle w:val="Heading1"/>
        <w:rPr>
          <w:lang w:val="en-US"/>
        </w:rPr>
      </w:pPr>
      <w:r>
        <w:rPr>
          <w:lang w:val="en-US"/>
        </w:rPr>
        <w:lastRenderedPageBreak/>
        <w:t xml:space="preserve"> Calibration error in multi-RTT</w:t>
      </w:r>
    </w:p>
    <w:p w14:paraId="52201B41" w14:textId="77777777" w:rsidR="00C10071" w:rsidRDefault="00C10071" w:rsidP="00C10071">
      <w:r>
        <w:t xml:space="preserve">RTT relies on UE Rx-Tx and gNB Rx-Tx measurements to estimate the distance of UE from each gNB. More precisely, the distance </w:t>
      </w:r>
      <m:oMath>
        <m:r>
          <w:rPr>
            <w:rFonts w:ascii="Cambria Math" w:hAnsi="Cambria Math"/>
          </w:rPr>
          <m:t>D</m:t>
        </m:r>
      </m:oMath>
      <w:r>
        <w:t xml:space="preserve"> can be estimated as:</w:t>
      </w:r>
    </w:p>
    <w:p w14:paraId="34C25EBC" w14:textId="77777777" w:rsidR="00C10071" w:rsidRPr="00D5201A" w:rsidRDefault="00464439" w:rsidP="00C10071">
      <m:oMathPara>
        <m:oMath>
          <m:f>
            <m:fPr>
              <m:ctrlPr>
                <w:rPr>
                  <w:rFonts w:ascii="Cambria Math" w:hAnsi="Cambria Math"/>
                  <w:i/>
                </w:rPr>
              </m:ctrlPr>
            </m:fPr>
            <m:num>
              <m:r>
                <w:rPr>
                  <w:rFonts w:ascii="Cambria Math" w:hAnsi="Cambria Math"/>
                </w:rPr>
                <m:t>2D</m:t>
              </m:r>
            </m:num>
            <m:den>
              <m:r>
                <w:rPr>
                  <w:rFonts w:ascii="Cambria Math" w:hAnsi="Cambria Math"/>
                </w:rPr>
                <m:t>c</m:t>
              </m:r>
            </m:den>
          </m:f>
          <m:r>
            <w:rPr>
              <w:rFonts w:ascii="Cambria Math" w:hAnsi="Cambria Math"/>
            </w:rPr>
            <m:t>=</m:t>
          </m:r>
          <m:sSub>
            <m:sSubPr>
              <m:ctrlPr>
                <w:rPr>
                  <w:rFonts w:ascii="Cambria Math" w:hAnsi="Cambria Math"/>
                  <w:i/>
                </w:rPr>
              </m:ctrlPr>
            </m:sSubPr>
            <m:e>
              <m:d>
                <m:dPr>
                  <m:ctrlPr>
                    <w:rPr>
                      <w:rFonts w:ascii="Cambria Math" w:hAnsi="Cambria Math"/>
                      <w:i/>
                    </w:rPr>
                  </m:ctrlPr>
                </m:dPr>
                <m:e>
                  <m:r>
                    <w:rPr>
                      <w:rFonts w:ascii="Cambria Math" w:hAnsi="Cambria Math"/>
                    </w:rPr>
                    <m:t>Rx-Tx</m:t>
                  </m:r>
                </m:e>
              </m:d>
            </m:e>
            <m:sub>
              <m:r>
                <w:rPr>
                  <w:rFonts w:ascii="Cambria Math" w:hAnsi="Cambria Math"/>
                </w:rPr>
                <m:t>UE</m:t>
              </m:r>
            </m:sub>
          </m:sSub>
          <m:r>
            <w:rPr>
              <w:rFonts w:ascii="Cambria Math" w:hAnsi="Cambria Math"/>
            </w:rPr>
            <m:t>+</m:t>
          </m:r>
          <m:sSub>
            <m:sSubPr>
              <m:ctrlPr>
                <w:rPr>
                  <w:rFonts w:ascii="Cambria Math" w:hAnsi="Cambria Math"/>
                  <w:i/>
                </w:rPr>
              </m:ctrlPr>
            </m:sSubPr>
            <m:e>
              <m:d>
                <m:dPr>
                  <m:ctrlPr>
                    <w:rPr>
                      <w:rFonts w:ascii="Cambria Math" w:hAnsi="Cambria Math"/>
                      <w:i/>
                    </w:rPr>
                  </m:ctrlPr>
                </m:dPr>
                <m:e>
                  <m:r>
                    <w:rPr>
                      <w:rFonts w:ascii="Cambria Math" w:hAnsi="Cambria Math"/>
                    </w:rPr>
                    <m:t>Rx-Tx</m:t>
                  </m:r>
                </m:e>
              </m:d>
            </m:e>
            <m:sub>
              <m:r>
                <w:rPr>
                  <w:rFonts w:ascii="Cambria Math" w:hAnsi="Cambria Math"/>
                </w:rPr>
                <m:t>gNB</m:t>
              </m:r>
            </m:sub>
          </m:sSub>
        </m:oMath>
      </m:oMathPara>
    </w:p>
    <w:p w14:paraId="1FB92F23" w14:textId="4E998708" w:rsidR="00C10071" w:rsidRDefault="00C10071" w:rsidP="00C10071">
      <w:r>
        <w:t xml:space="preserve">where </w:t>
      </w:r>
      <m:oMath>
        <m:r>
          <w:rPr>
            <w:rFonts w:ascii="Cambria Math" w:hAnsi="Cambria Math"/>
          </w:rPr>
          <m:t>c</m:t>
        </m:r>
      </m:oMath>
      <w:r>
        <w:t xml:space="preserve"> is the speed of </w:t>
      </w:r>
      <w:proofErr w:type="gramStart"/>
      <w:r>
        <w:t>light.</w:t>
      </w:r>
      <w:proofErr w:type="gramEnd"/>
      <w:r>
        <w:t xml:space="preserve"> RTT measurements from multiple cells can be used in triangulation to estimate the UE position (Figure 3, left). Alternatively, a single gNB RTT measurement can be augmented by another measurement such as AoD to fix the position (Figure 3, right).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1"/>
        <w:gridCol w:w="4781"/>
      </w:tblGrid>
      <w:tr w:rsidR="00C10071" w14:paraId="280BF865" w14:textId="77777777" w:rsidTr="00AA1A1F">
        <w:tc>
          <w:tcPr>
            <w:tcW w:w="4781" w:type="dxa"/>
          </w:tcPr>
          <w:p w14:paraId="1E520737" w14:textId="77777777" w:rsidR="00C10071" w:rsidRDefault="00C10071" w:rsidP="00AA1A1F">
            <w:r w:rsidRPr="00D5201A">
              <w:rPr>
                <w:lang w:val="en-US"/>
              </w:rPr>
              <w:object w:dxaOrig="3574" w:dyaOrig="2556" w14:anchorId="380A73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6pt;height:139.15pt" o:ole="">
                  <v:imagedata r:id="rId10" o:title=""/>
                </v:shape>
                <o:OLEObject Type="Embed" ProgID="Visio.Drawing.11" ShapeID="_x0000_i1025" DrawAspect="Content" ObjectID="_1634735295" r:id="rId11"/>
              </w:object>
            </w:r>
          </w:p>
        </w:tc>
        <w:tc>
          <w:tcPr>
            <w:tcW w:w="4781" w:type="dxa"/>
          </w:tcPr>
          <w:p w14:paraId="4BEB96FB" w14:textId="77777777" w:rsidR="00C10071" w:rsidRDefault="00C10071" w:rsidP="00AA1A1F">
            <w:pPr>
              <w:keepNext/>
            </w:pPr>
            <w:r w:rsidRPr="00D5201A">
              <w:rPr>
                <w:lang w:val="en-US"/>
              </w:rPr>
              <w:object w:dxaOrig="3569" w:dyaOrig="2227" w14:anchorId="040BC20D">
                <v:shape id="_x0000_i1026" type="#_x0000_t75" style="width:228.35pt;height:142.4pt" o:ole="">
                  <v:imagedata r:id="rId12" o:title=""/>
                </v:shape>
                <o:OLEObject Type="Embed" ProgID="Visio.Drawing.11" ShapeID="_x0000_i1026" DrawAspect="Content" ObjectID="_1634735296" r:id="rId13"/>
              </w:object>
            </w:r>
          </w:p>
        </w:tc>
      </w:tr>
    </w:tbl>
    <w:p w14:paraId="6E451308" w14:textId="7C20C840" w:rsidR="00C10071" w:rsidRDefault="00C10071" w:rsidP="00C10071">
      <w:pPr>
        <w:pStyle w:val="Caption"/>
        <w:jc w:val="center"/>
      </w:pPr>
      <w:r>
        <w:t>Figure 3 Multi-RTT (left) and single-RTT (right) positioning</w:t>
      </w:r>
    </w:p>
    <w:p w14:paraId="5230DFE7" w14:textId="77777777" w:rsidR="00C10071" w:rsidRPr="00C10071" w:rsidRDefault="00C10071" w:rsidP="00C10071">
      <w:pPr>
        <w:rPr>
          <w:lang w:val="en-US"/>
        </w:rPr>
      </w:pPr>
    </w:p>
    <w:p w14:paraId="7E8B5423" w14:textId="2EC7663B" w:rsidR="003634C1" w:rsidRDefault="003634C1" w:rsidP="003634C1">
      <w:r>
        <w:t xml:space="preserve">In contrast to TDOA-based methods, RTT-based positioning does not require very tight synchronization among cells. However, calibration error and group delay variation in both UE and gNB are main sources of impediments. Figure </w:t>
      </w:r>
      <w:r w:rsidR="00C10071">
        <w:t>4</w:t>
      </w:r>
      <w:r>
        <w:t xml:space="preserve"> illustrates the group delay terms on the Rx and Tx path of both UE and gNB that contribute to RTT measurement inaccuracy.</w:t>
      </w:r>
    </w:p>
    <w:p w14:paraId="4227CC0F" w14:textId="77777777" w:rsidR="003634C1" w:rsidRDefault="003634C1" w:rsidP="003634C1"/>
    <w:p w14:paraId="0BCC3358" w14:textId="77777777" w:rsidR="003634C1" w:rsidRDefault="003634C1" w:rsidP="003634C1">
      <w:pPr>
        <w:keepNext/>
        <w:jc w:val="center"/>
      </w:pPr>
      <w:r w:rsidRPr="003B3E1B">
        <w:rPr>
          <w:noProof/>
        </w:rPr>
        <w:drawing>
          <wp:inline distT="0" distB="0" distL="0" distR="0" wp14:anchorId="7D66B684" wp14:editId="6874D6F1">
            <wp:extent cx="3692106" cy="1941326"/>
            <wp:effectExtent l="0" t="0" r="3810" b="190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06411" cy="1948848"/>
                    </a:xfrm>
                    <a:prstGeom prst="rect">
                      <a:avLst/>
                    </a:prstGeom>
                    <a:noFill/>
                    <a:ln>
                      <a:noFill/>
                    </a:ln>
                  </pic:spPr>
                </pic:pic>
              </a:graphicData>
            </a:graphic>
          </wp:inline>
        </w:drawing>
      </w:r>
    </w:p>
    <w:p w14:paraId="33DA6CEB" w14:textId="7F95FA0C" w:rsidR="003634C1" w:rsidRDefault="003634C1" w:rsidP="003634C1">
      <w:pPr>
        <w:pStyle w:val="Caption"/>
        <w:jc w:val="center"/>
      </w:pPr>
      <w:r>
        <w:t xml:space="preserve">Figure </w:t>
      </w:r>
      <w:r w:rsidR="00C10071">
        <w:t>4</w:t>
      </w:r>
      <w:r>
        <w:t xml:space="preserve"> Calibration error and group delay variation in RTT</w:t>
      </w:r>
    </w:p>
    <w:p w14:paraId="37A6963F" w14:textId="62889840" w:rsidR="00BF232C" w:rsidRDefault="00BF232C" w:rsidP="00BF232C">
      <w:r>
        <w:t>The accuracy of an RTT measurement is impacted by calibration errors in gNB Rx and Tx paths (</w:t>
      </w:r>
      <m:oMath>
        <m:sSub>
          <m:sSubPr>
            <m:ctrlPr>
              <w:rPr>
                <w:rFonts w:ascii="Cambria Math" w:hAnsi="Cambria Math"/>
                <w:i/>
              </w:rPr>
            </m:ctrlPr>
          </m:sSubPr>
          <m:e>
            <m:r>
              <w:rPr>
                <w:rFonts w:ascii="Cambria Math" w:hAnsi="Cambria Math"/>
              </w:rPr>
              <m:t>∆</m:t>
            </m:r>
          </m:e>
          <m:sub>
            <m:r>
              <w:rPr>
                <w:rFonts w:ascii="Cambria Math" w:hAnsi="Cambria Math"/>
              </w:rPr>
              <m:t>Tx,gNB</m:t>
            </m:r>
          </m:sub>
        </m:sSub>
      </m:oMath>
      <w:r>
        <w:t xml:space="preserve"> and </w:t>
      </w:r>
      <m:oMath>
        <m:sSub>
          <m:sSubPr>
            <m:ctrlPr>
              <w:rPr>
                <w:rFonts w:ascii="Cambria Math" w:hAnsi="Cambria Math"/>
                <w:i/>
              </w:rPr>
            </m:ctrlPr>
          </m:sSubPr>
          <m:e>
            <m:r>
              <w:rPr>
                <w:rFonts w:ascii="Cambria Math" w:hAnsi="Cambria Math"/>
              </w:rPr>
              <m:t>∆</m:t>
            </m:r>
          </m:e>
          <m:sub>
            <m:r>
              <w:rPr>
                <w:rFonts w:ascii="Cambria Math" w:hAnsi="Cambria Math"/>
              </w:rPr>
              <m:t>Rx,gNB</m:t>
            </m:r>
          </m:sub>
        </m:sSub>
      </m:oMath>
      <w:r>
        <w:t>) and calibration errors in UE Rx and Tx path (</w:t>
      </w:r>
      <m:oMath>
        <m:sSub>
          <m:sSubPr>
            <m:ctrlPr>
              <w:rPr>
                <w:rFonts w:ascii="Cambria Math" w:hAnsi="Cambria Math"/>
                <w:i/>
              </w:rPr>
            </m:ctrlPr>
          </m:sSubPr>
          <m:e>
            <m:r>
              <w:rPr>
                <w:rFonts w:ascii="Cambria Math" w:hAnsi="Cambria Math"/>
              </w:rPr>
              <m:t>∆</m:t>
            </m:r>
          </m:e>
          <m:sub>
            <m:r>
              <w:rPr>
                <w:rFonts w:ascii="Cambria Math" w:hAnsi="Cambria Math"/>
              </w:rPr>
              <m:t>Tx,UE</m:t>
            </m:r>
          </m:sub>
        </m:sSub>
      </m:oMath>
      <w:r>
        <w:t xml:space="preserve"> and </w:t>
      </w:r>
      <m:oMath>
        <m:sSub>
          <m:sSubPr>
            <m:ctrlPr>
              <w:rPr>
                <w:rFonts w:ascii="Cambria Math" w:hAnsi="Cambria Math"/>
                <w:i/>
              </w:rPr>
            </m:ctrlPr>
          </m:sSubPr>
          <m:e>
            <m:r>
              <w:rPr>
                <w:rFonts w:ascii="Cambria Math" w:hAnsi="Cambria Math"/>
              </w:rPr>
              <m:t>∆</m:t>
            </m:r>
          </m:e>
          <m:sub>
            <m:r>
              <w:rPr>
                <w:rFonts w:ascii="Cambria Math" w:hAnsi="Cambria Math"/>
              </w:rPr>
              <m:t>Rx,UE</m:t>
            </m:r>
          </m:sub>
        </m:sSub>
      </m:oMath>
      <w:r>
        <w:t>)</w:t>
      </w:r>
      <w:r w:rsidR="00271E3F">
        <w:t>.</w:t>
      </w:r>
      <w:r w:rsidR="001314CD">
        <w:t xml:space="preserve"> In multi-RTT, a main part of the UE group delay can be cancelled through differential computation. Figure 5 illustrates this concept wherein </w:t>
      </w:r>
      <m:oMath>
        <m:r>
          <w:rPr>
            <w:rFonts w:ascii="Cambria Math" w:hAnsi="Cambria Math"/>
          </w:rPr>
          <m:t>RT</m:t>
        </m:r>
        <m:sSub>
          <m:sSubPr>
            <m:ctrlPr>
              <w:rPr>
                <w:rFonts w:ascii="Cambria Math" w:hAnsi="Cambria Math"/>
                <w:i/>
              </w:rPr>
            </m:ctrlPr>
          </m:sSubPr>
          <m:e>
            <m:r>
              <w:rPr>
                <w:rFonts w:ascii="Cambria Math" w:hAnsi="Cambria Math"/>
              </w:rPr>
              <m:t>T</m:t>
            </m:r>
          </m:e>
          <m:sub>
            <m:r>
              <w:rPr>
                <w:rFonts w:ascii="Cambria Math" w:hAnsi="Cambria Math"/>
              </w:rPr>
              <m:t>i</m:t>
            </m:r>
          </m:sub>
        </m:sSub>
      </m:oMath>
      <w:r w:rsidR="001314CD">
        <w:t xml:space="preserve"> is the real RTT with respect to i-th gNB, </w:t>
      </w:r>
      <m:oMath>
        <m:sSub>
          <m:sSubPr>
            <m:ctrlPr>
              <w:rPr>
                <w:rFonts w:ascii="Cambria Math" w:hAnsi="Cambria Math"/>
                <w:i/>
              </w:rPr>
            </m:ctrlPr>
          </m:sSubPr>
          <m:e>
            <m:r>
              <w:rPr>
                <w:rFonts w:ascii="Cambria Math" w:hAnsi="Cambria Math"/>
              </w:rPr>
              <m:t>D</m:t>
            </m:r>
          </m:e>
          <m:sub>
            <m:r>
              <w:rPr>
                <w:rFonts w:ascii="Cambria Math" w:hAnsi="Cambria Math"/>
              </w:rPr>
              <m:t xml:space="preserve">UE,common </m:t>
            </m:r>
          </m:sub>
        </m:sSub>
      </m:oMath>
      <w:r w:rsidR="001314CD">
        <w:t xml:space="preserve">is the group delay component common to all RTTs, </w:t>
      </w:r>
      <m:oMath>
        <m:sSub>
          <m:sSubPr>
            <m:ctrlPr>
              <w:rPr>
                <w:rFonts w:ascii="Cambria Math" w:hAnsi="Cambria Math"/>
                <w:i/>
              </w:rPr>
            </m:ctrlPr>
          </m:sSubPr>
          <m:e>
            <m:r>
              <w:rPr>
                <w:rFonts w:ascii="Cambria Math" w:hAnsi="Cambria Math"/>
              </w:rPr>
              <m:t>D</m:t>
            </m:r>
          </m:e>
          <m:sub>
            <m:r>
              <w:rPr>
                <w:rFonts w:ascii="Cambria Math" w:hAnsi="Cambria Math"/>
              </w:rPr>
              <m:t>UE,i</m:t>
            </m:r>
          </m:sub>
        </m:sSub>
      </m:oMath>
      <w:r w:rsidR="001314CD">
        <w:t xml:space="preserve"> is the group delay error term specific to i-th RTT, and </w:t>
      </w:r>
      <m:oMath>
        <m:sSub>
          <m:sSubPr>
            <m:ctrlPr>
              <w:rPr>
                <w:rFonts w:ascii="Cambria Math" w:hAnsi="Cambria Math"/>
                <w:i/>
              </w:rPr>
            </m:ctrlPr>
          </m:sSubPr>
          <m:e>
            <m:r>
              <w:rPr>
                <w:rFonts w:ascii="Cambria Math" w:hAnsi="Cambria Math"/>
              </w:rPr>
              <m:t>∆</m:t>
            </m:r>
          </m:e>
          <m:sub>
            <m:r>
              <w:rPr>
                <w:rFonts w:ascii="Cambria Math" w:hAnsi="Cambria Math"/>
              </w:rPr>
              <m:t>gNB,i</m:t>
            </m:r>
          </m:sub>
        </m:sSub>
      </m:oMath>
      <w:r w:rsidR="001314CD">
        <w:t xml:space="preserve"> is the group delay error for i-th gNB. In differential computation, the term </w:t>
      </w:r>
      <m:oMath>
        <m:sSub>
          <m:sSubPr>
            <m:ctrlPr>
              <w:rPr>
                <w:rFonts w:ascii="Cambria Math" w:hAnsi="Cambria Math"/>
                <w:i/>
              </w:rPr>
            </m:ctrlPr>
          </m:sSubPr>
          <m:e>
            <m:r>
              <w:rPr>
                <w:rFonts w:ascii="Cambria Math" w:hAnsi="Cambria Math"/>
              </w:rPr>
              <m:t>D</m:t>
            </m:r>
          </m:e>
          <m:sub>
            <m:r>
              <w:rPr>
                <w:rFonts w:ascii="Cambria Math" w:hAnsi="Cambria Math"/>
              </w:rPr>
              <m:t xml:space="preserve">UE,common </m:t>
            </m:r>
          </m:sub>
        </m:sSub>
      </m:oMath>
      <w:r w:rsidR="001314CD">
        <w:t xml:space="preserve">can be eliminated leaving more budget for other terms. </w:t>
      </w:r>
    </w:p>
    <w:p w14:paraId="09696DC9" w14:textId="2CA55FBC" w:rsidR="00271E3F" w:rsidRDefault="00271E3F" w:rsidP="00BF232C"/>
    <w:p w14:paraId="1A64CA0B" w14:textId="77777777" w:rsidR="00271E3F" w:rsidRDefault="00271E3F" w:rsidP="00271E3F">
      <w:pPr>
        <w:keepNext/>
        <w:jc w:val="center"/>
      </w:pPr>
      <w:r w:rsidRPr="00271E3F">
        <w:rPr>
          <w:noProof/>
        </w:rPr>
        <w:lastRenderedPageBreak/>
        <w:drawing>
          <wp:inline distT="0" distB="0" distL="0" distR="0" wp14:anchorId="285D1573" wp14:editId="7BEA7077">
            <wp:extent cx="3528203" cy="1654323"/>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68907" cy="1673409"/>
                    </a:xfrm>
                    <a:prstGeom prst="rect">
                      <a:avLst/>
                    </a:prstGeom>
                    <a:noFill/>
                    <a:ln>
                      <a:noFill/>
                    </a:ln>
                  </pic:spPr>
                </pic:pic>
              </a:graphicData>
            </a:graphic>
          </wp:inline>
        </w:drawing>
      </w:r>
    </w:p>
    <w:p w14:paraId="5F566D1C" w14:textId="5CFB8DD9" w:rsidR="00271E3F" w:rsidRPr="00BF232C" w:rsidRDefault="00271E3F" w:rsidP="00271E3F">
      <w:pPr>
        <w:pStyle w:val="Caption"/>
        <w:jc w:val="center"/>
      </w:pPr>
      <w:r>
        <w:t xml:space="preserve">Figure 5 </w:t>
      </w:r>
      <w:r w:rsidR="004D18E2">
        <w:t>Differential RTT and group delay</w:t>
      </w:r>
    </w:p>
    <w:p w14:paraId="5D9144D1" w14:textId="475C002F" w:rsidR="003634C1" w:rsidRDefault="003634C1" w:rsidP="003634C1">
      <w:r>
        <w:t xml:space="preserve">We present a preliminary analysis on the calibration level required to meet the accuracy requirements set forth in </w:t>
      </w:r>
      <w:r w:rsidRPr="000454EF">
        <w:t>TR38.855</w:t>
      </w:r>
      <w:r>
        <w:t>. With 10-meter horizontal positioning error for outdoor deployment scenarios, the total error budget of the system is approximately 33ns. Assuming PRS BW of 100 MHz in DL, the baseband TOA estimation in the UE yields an error approximately equal to 1/BW or 10ns. Similarly, assuming SRS BW of 100 MHz in UL, the baseband TOA estimation in the gNB leads to another 10ns of error. This leaves only 13ns budget for total calibration error of UE and gNB.  As a refence, current requirements for time alignment error (TAE) at gNB between different branches of MIMO transmission is 65ns (clause 6.5.3.2 of TS 38.104).</w:t>
      </w:r>
    </w:p>
    <w:p w14:paraId="2909F0C6" w14:textId="2E91FC0B" w:rsidR="003634C1" w:rsidRDefault="003634C1" w:rsidP="003634C1">
      <w:pPr>
        <w:rPr>
          <w:b/>
          <w:bCs/>
        </w:rPr>
      </w:pPr>
      <w:r w:rsidRPr="007B582F">
        <w:rPr>
          <w:b/>
          <w:bCs/>
        </w:rPr>
        <w:t xml:space="preserve">Observation </w:t>
      </w:r>
      <w:r>
        <w:rPr>
          <w:b/>
          <w:bCs/>
        </w:rPr>
        <w:t>3</w:t>
      </w:r>
      <w:r w:rsidRPr="007B582F">
        <w:rPr>
          <w:b/>
          <w:bCs/>
        </w:rPr>
        <w:t xml:space="preserve">. </w:t>
      </w:r>
      <w:r w:rsidR="00275D93" w:rsidRPr="00275D93">
        <w:rPr>
          <w:b/>
          <w:bCs/>
        </w:rPr>
        <w:t>In contrast to TDOA-based methods, RTT-based positioning does not require very tight synchronization among cells.</w:t>
      </w:r>
      <w:r w:rsidR="00275D93">
        <w:t xml:space="preserve"> </w:t>
      </w:r>
      <w:r w:rsidRPr="007B582F">
        <w:rPr>
          <w:b/>
          <w:bCs/>
        </w:rPr>
        <w:t>Calibration error and group delay variation in both UE and gNB are main sources of impediments in RTT.</w:t>
      </w:r>
      <w:r w:rsidR="0029073A">
        <w:rPr>
          <w:b/>
          <w:bCs/>
        </w:rPr>
        <w:t xml:space="preserve"> In multi-RTT, the common part of UE group delay can be cancelled in differential computation.</w:t>
      </w:r>
      <w:r w:rsidRPr="007B582F">
        <w:rPr>
          <w:b/>
          <w:bCs/>
        </w:rPr>
        <w:t xml:space="preserve"> To meet positioning accuracy requirements in TR38.855, calibration of group delay at both UE and gNB </w:t>
      </w:r>
      <w:r>
        <w:rPr>
          <w:b/>
          <w:bCs/>
        </w:rPr>
        <w:t>must</w:t>
      </w:r>
      <w:r w:rsidRPr="007B582F">
        <w:rPr>
          <w:b/>
          <w:bCs/>
        </w:rPr>
        <w:t xml:space="preserve"> significantly improve. </w:t>
      </w:r>
    </w:p>
    <w:p w14:paraId="317F0099" w14:textId="27C109FD" w:rsidR="00C73568" w:rsidRDefault="00C73568" w:rsidP="003634C1">
      <w:r>
        <w:t xml:space="preserve">Moreover, features aside from NR positioning also require tight calibration of gNB Rx-Tx group delay. For instance, reciprocity-based multi-user MIMO (MU-MIMO) beamforming in the DL relies on gNB being able to receive the SRS from multiple UEs to estimate the proper precoder to maintain DL orthogonality among coupled UEs. To accomplish this, the Tx (DL) path needs to be well calibrated with the Rx (UL) path at gNB. </w:t>
      </w:r>
    </w:p>
    <w:p w14:paraId="33A90514" w14:textId="4D7F4B3F" w:rsidR="00C73568" w:rsidRPr="00C73568" w:rsidRDefault="00C73568" w:rsidP="003634C1">
      <w:pPr>
        <w:rPr>
          <w:b/>
          <w:bCs/>
        </w:rPr>
      </w:pPr>
      <w:r w:rsidRPr="00C73568">
        <w:rPr>
          <w:b/>
          <w:bCs/>
        </w:rPr>
        <w:t xml:space="preserve">Observation 4. Features aside from NR positioning also require tight calibration of gNB Rx-Tx group delay. For instance, reciprocity-based multi-user MIMO (MU-MIMO) beamforming in the DL relies on gNB being able to receive the SRS from multiple UEs to estimate the proper precoder to maintain DL orthogonality among coupled UEs. To accomplish this, the Tx (DL) path needs to be well calibrated with the Rx (UL) path at gNB. </w:t>
      </w:r>
    </w:p>
    <w:p w14:paraId="1724EC56" w14:textId="52938ADF" w:rsidR="003634C1" w:rsidRPr="003634C1" w:rsidRDefault="003634C1" w:rsidP="003634C1">
      <w:pPr>
        <w:rPr>
          <w:b/>
          <w:bCs/>
          <w:lang w:val="en-US"/>
        </w:rPr>
      </w:pPr>
      <w:r w:rsidRPr="003634C1">
        <w:rPr>
          <w:b/>
          <w:bCs/>
          <w:lang w:val="en-US"/>
        </w:rPr>
        <w:t xml:space="preserve">Proposal 2. RAN4 to also discuss gNB Rx-Tx performance requirements in conjunction with UE Rx-Tx requirements for multi-RTT positioning techniques. </w:t>
      </w:r>
    </w:p>
    <w:p w14:paraId="05109B46" w14:textId="495ED071" w:rsidR="00F2107A" w:rsidRDefault="0032488E" w:rsidP="005D6C7D">
      <w:pPr>
        <w:pStyle w:val="Heading1"/>
        <w:rPr>
          <w:lang w:val="en-US"/>
        </w:rPr>
      </w:pPr>
      <w:r>
        <w:rPr>
          <w:lang w:val="en-US"/>
        </w:rPr>
        <w:t>Con</w:t>
      </w:r>
      <w:r w:rsidR="00F2107A">
        <w:rPr>
          <w:lang w:val="en-US"/>
        </w:rPr>
        <w:t>clusions</w:t>
      </w:r>
    </w:p>
    <w:p w14:paraId="556F6D1F" w14:textId="33415A5F" w:rsidR="00154D17" w:rsidRPr="00154D17" w:rsidRDefault="00154D17" w:rsidP="00154D17">
      <w:pPr>
        <w:rPr>
          <w:b/>
          <w:bCs/>
        </w:rPr>
      </w:pPr>
      <w:r w:rsidRPr="009A4903">
        <w:rPr>
          <w:b/>
          <w:bCs/>
        </w:rPr>
        <w:t xml:space="preserve">Observation 1. With NW synchronization error greater than T1=100 ns, even regulatory requirements (&lt;50 m) cannot be met for UMi scenario in FR1. The existing synchronization requirements (3 us MRTD in FR1) is significantly larger than what is required for positioning. </w:t>
      </w:r>
    </w:p>
    <w:p w14:paraId="49B06605" w14:textId="23A374D4" w:rsidR="00154D17" w:rsidRPr="00154D17" w:rsidRDefault="00154D17" w:rsidP="00154D17">
      <w:pPr>
        <w:rPr>
          <w:b/>
          <w:bCs/>
        </w:rPr>
      </w:pPr>
      <w:r w:rsidRPr="009A4903">
        <w:rPr>
          <w:b/>
          <w:bCs/>
        </w:rPr>
        <w:t xml:space="preserve">Observation </w:t>
      </w:r>
      <w:r>
        <w:rPr>
          <w:b/>
          <w:bCs/>
        </w:rPr>
        <w:t>2</w:t>
      </w:r>
      <w:r w:rsidRPr="009A4903">
        <w:rPr>
          <w:b/>
          <w:bCs/>
        </w:rPr>
        <w:t>. With NW synchronization error greater than T1=100 ns, even regulatory requirements (&lt;50 m) cannot be met for UMi scenario in FR</w:t>
      </w:r>
      <w:r>
        <w:rPr>
          <w:b/>
          <w:bCs/>
        </w:rPr>
        <w:t>2</w:t>
      </w:r>
      <w:r w:rsidRPr="009A4903">
        <w:rPr>
          <w:b/>
          <w:bCs/>
        </w:rPr>
        <w:t>. The existing synchronization requirements (</w:t>
      </w:r>
      <w:r>
        <w:rPr>
          <w:b/>
          <w:bCs/>
        </w:rPr>
        <w:t>0.26</w:t>
      </w:r>
      <w:r w:rsidRPr="009A4903">
        <w:rPr>
          <w:b/>
          <w:bCs/>
        </w:rPr>
        <w:t xml:space="preserve"> us MRTD in FR</w:t>
      </w:r>
      <w:r>
        <w:rPr>
          <w:b/>
          <w:bCs/>
        </w:rPr>
        <w:t>2</w:t>
      </w:r>
      <w:r w:rsidRPr="009A4903">
        <w:rPr>
          <w:b/>
          <w:bCs/>
        </w:rPr>
        <w:t xml:space="preserve">) is significantly larger than what is required for positioning. </w:t>
      </w:r>
    </w:p>
    <w:p w14:paraId="314A944A" w14:textId="77777777" w:rsidR="0029073A" w:rsidRPr="001B2A27" w:rsidRDefault="0029073A" w:rsidP="0029073A">
      <w:pPr>
        <w:rPr>
          <w:b/>
          <w:bCs/>
        </w:rPr>
      </w:pPr>
      <w:r w:rsidRPr="00422FEE">
        <w:rPr>
          <w:b/>
          <w:bCs/>
        </w:rPr>
        <w:t>Proposal 1. RAN4 to discuss gNB phase synchronization error requirements for TDOA positioning technique. If gNB phase synchronization requirements remain at R15 level, RAN4 work on DL-TDOA requirements should be deprioritized compared to other positioning techniques.</w:t>
      </w:r>
    </w:p>
    <w:p w14:paraId="6B0B2E83" w14:textId="0AD067C3" w:rsidR="00275D93" w:rsidRDefault="00275D93" w:rsidP="00275D93">
      <w:pPr>
        <w:rPr>
          <w:b/>
          <w:bCs/>
        </w:rPr>
      </w:pPr>
      <w:r w:rsidRPr="007B582F">
        <w:rPr>
          <w:b/>
          <w:bCs/>
        </w:rPr>
        <w:t xml:space="preserve">Observation </w:t>
      </w:r>
      <w:r>
        <w:rPr>
          <w:b/>
          <w:bCs/>
        </w:rPr>
        <w:t>3</w:t>
      </w:r>
      <w:r w:rsidRPr="007B582F">
        <w:rPr>
          <w:b/>
          <w:bCs/>
        </w:rPr>
        <w:t xml:space="preserve">. </w:t>
      </w:r>
      <w:r w:rsidRPr="00275D93">
        <w:rPr>
          <w:b/>
          <w:bCs/>
        </w:rPr>
        <w:t>In contrast to TDOA-based methods, RTT-based positioning does not require very tight synchronization among cells.</w:t>
      </w:r>
      <w:r>
        <w:t xml:space="preserve"> </w:t>
      </w:r>
      <w:r w:rsidRPr="007B582F">
        <w:rPr>
          <w:b/>
          <w:bCs/>
        </w:rPr>
        <w:t>Calibration error and group delay variation in both UE and gNB are main sources of impediments in RTT.</w:t>
      </w:r>
      <w:r>
        <w:rPr>
          <w:b/>
          <w:bCs/>
        </w:rPr>
        <w:t xml:space="preserve"> In multi-RTT, the common part of UE group delay can be cancelled in differential computation.</w:t>
      </w:r>
      <w:r w:rsidRPr="007B582F">
        <w:rPr>
          <w:b/>
          <w:bCs/>
        </w:rPr>
        <w:t xml:space="preserve"> To meet positioning accuracy requirements in TR38.855, calibration of group delay at both UE and gNB </w:t>
      </w:r>
      <w:r>
        <w:rPr>
          <w:b/>
          <w:bCs/>
        </w:rPr>
        <w:t>must</w:t>
      </w:r>
      <w:r w:rsidRPr="007B582F">
        <w:rPr>
          <w:b/>
          <w:bCs/>
        </w:rPr>
        <w:t xml:space="preserve"> significantly improve. </w:t>
      </w:r>
    </w:p>
    <w:p w14:paraId="782955AA" w14:textId="7422CEE0" w:rsidR="00C73568" w:rsidRPr="007B582F" w:rsidRDefault="00C73568" w:rsidP="00275D93">
      <w:pPr>
        <w:rPr>
          <w:b/>
          <w:bCs/>
        </w:rPr>
      </w:pPr>
      <w:r w:rsidRPr="00C73568">
        <w:rPr>
          <w:b/>
          <w:bCs/>
        </w:rPr>
        <w:lastRenderedPageBreak/>
        <w:t xml:space="preserve">Observation 4. Features aside from NR positioning also require tight calibration of gNB Rx-Tx group delay. For instance, reciprocity-based multi-user MIMO (MU-MIMO) beamforming in the DL relies on gNB being able to receive the SRS from multiple UEs to estimate the proper precoder to maintain DL orthogonality among coupled UEs. To accomplish this, the Tx (DL) path needs to be well calibrated with the Rx (UL) path at gNB. </w:t>
      </w:r>
    </w:p>
    <w:p w14:paraId="01D674CB" w14:textId="77777777" w:rsidR="0029073A" w:rsidRPr="003634C1" w:rsidRDefault="0029073A" w:rsidP="0029073A">
      <w:pPr>
        <w:rPr>
          <w:b/>
          <w:bCs/>
          <w:lang w:val="en-US"/>
        </w:rPr>
      </w:pPr>
      <w:r w:rsidRPr="003634C1">
        <w:rPr>
          <w:b/>
          <w:bCs/>
          <w:lang w:val="en-US"/>
        </w:rPr>
        <w:t xml:space="preserve">Proposal 2. RAN4 to also discuss gNB Rx-Tx performance requirements in conjunction with UE Rx-Tx requirements for multi-RTT positioning techniques. </w:t>
      </w:r>
    </w:p>
    <w:p w14:paraId="0C633F9D" w14:textId="447C8E91" w:rsidR="00797CE5" w:rsidRDefault="00797CE5" w:rsidP="006050F7">
      <w:pPr>
        <w:pStyle w:val="Heading1"/>
        <w:numPr>
          <w:ilvl w:val="0"/>
          <w:numId w:val="0"/>
        </w:numPr>
        <w:rPr>
          <w:lang w:val="en-US"/>
        </w:rPr>
      </w:pPr>
      <w:r>
        <w:rPr>
          <w:lang w:val="en-US"/>
        </w:rPr>
        <w:t>References</w:t>
      </w:r>
    </w:p>
    <w:p w14:paraId="79762E8F" w14:textId="3A3993E1" w:rsidR="00D2472A" w:rsidRDefault="00D2472A" w:rsidP="00D2472A">
      <w:pPr>
        <w:rPr>
          <w:lang w:val="en-US"/>
        </w:rPr>
      </w:pPr>
      <w:r>
        <w:rPr>
          <w:lang w:val="en-US"/>
        </w:rPr>
        <w:t>[1] R4-19</w:t>
      </w:r>
      <w:r w:rsidR="00385727">
        <w:rPr>
          <w:lang w:val="en-US"/>
        </w:rPr>
        <w:t>12836</w:t>
      </w:r>
    </w:p>
    <w:p w14:paraId="7AED7D9A" w14:textId="7AB27A6F" w:rsidR="009152F9" w:rsidRDefault="009152F9" w:rsidP="00D2472A">
      <w:pPr>
        <w:rPr>
          <w:lang w:val="en-US"/>
        </w:rPr>
      </w:pPr>
      <w:r>
        <w:rPr>
          <w:lang w:val="en-US"/>
        </w:rPr>
        <w:t>[2] RP-191156</w:t>
      </w:r>
    </w:p>
    <w:p w14:paraId="7B142946" w14:textId="2E3342A1" w:rsidR="00BF31AD" w:rsidRDefault="007B6A7A" w:rsidP="00797CE5">
      <w:pPr>
        <w:rPr>
          <w:lang w:val="en-US"/>
        </w:rPr>
      </w:pPr>
      <w:r>
        <w:rPr>
          <w:lang w:val="en-US"/>
        </w:rPr>
        <w:t>[3] R4-1912415</w:t>
      </w:r>
    </w:p>
    <w:sectPr w:rsidR="00BF31AD" w:rsidSect="00571A0A">
      <w:footerReference w:type="even" r:id="rId16"/>
      <w:footerReference w:type="default" r:id="rId17"/>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8DC0F8" w14:textId="77777777" w:rsidR="00464439" w:rsidRDefault="00464439">
      <w:r>
        <w:separator/>
      </w:r>
    </w:p>
  </w:endnote>
  <w:endnote w:type="continuationSeparator" w:id="0">
    <w:p w14:paraId="20DD0769" w14:textId="77777777" w:rsidR="00464439" w:rsidRDefault="00464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9F9A3F" w14:textId="77777777" w:rsidR="00464439" w:rsidRDefault="00464439">
      <w:r>
        <w:separator/>
      </w:r>
    </w:p>
  </w:footnote>
  <w:footnote w:type="continuationSeparator" w:id="0">
    <w:p w14:paraId="58393AF8" w14:textId="77777777" w:rsidR="00464439" w:rsidRDefault="004644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E6F8F"/>
    <w:multiLevelType w:val="hybridMultilevel"/>
    <w:tmpl w:val="0FC2D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C91A90"/>
    <w:multiLevelType w:val="hybridMultilevel"/>
    <w:tmpl w:val="5A307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A65EE"/>
    <w:multiLevelType w:val="hybridMultilevel"/>
    <w:tmpl w:val="63DC7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6A1A34"/>
    <w:multiLevelType w:val="hybridMultilevel"/>
    <w:tmpl w:val="EE7C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B828FF"/>
    <w:multiLevelType w:val="hybridMultilevel"/>
    <w:tmpl w:val="E0689E02"/>
    <w:lvl w:ilvl="0" w:tplc="2E864088">
      <w:start w:val="1"/>
      <w:numFmt w:val="bullet"/>
      <w:lvlText w:val="•"/>
      <w:lvlJc w:val="left"/>
      <w:pPr>
        <w:tabs>
          <w:tab w:val="num" w:pos="360"/>
        </w:tabs>
        <w:ind w:left="360" w:hanging="360"/>
      </w:pPr>
      <w:rPr>
        <w:rFonts w:ascii="Arial" w:hAnsi="Arial" w:hint="default"/>
      </w:rPr>
    </w:lvl>
    <w:lvl w:ilvl="1" w:tplc="0396D124">
      <w:start w:val="3972"/>
      <w:numFmt w:val="bullet"/>
      <w:lvlText w:val="–"/>
      <w:lvlJc w:val="left"/>
      <w:pPr>
        <w:tabs>
          <w:tab w:val="num" w:pos="1080"/>
        </w:tabs>
        <w:ind w:left="1080" w:hanging="360"/>
      </w:pPr>
      <w:rPr>
        <w:rFonts w:ascii="Arial" w:hAnsi="Arial" w:hint="default"/>
      </w:rPr>
    </w:lvl>
    <w:lvl w:ilvl="2" w:tplc="DB387298" w:tentative="1">
      <w:start w:val="1"/>
      <w:numFmt w:val="bullet"/>
      <w:lvlText w:val="•"/>
      <w:lvlJc w:val="left"/>
      <w:pPr>
        <w:tabs>
          <w:tab w:val="num" w:pos="1800"/>
        </w:tabs>
        <w:ind w:left="1800" w:hanging="360"/>
      </w:pPr>
      <w:rPr>
        <w:rFonts w:ascii="Arial" w:hAnsi="Arial" w:hint="default"/>
      </w:rPr>
    </w:lvl>
    <w:lvl w:ilvl="3" w:tplc="B06CB344" w:tentative="1">
      <w:start w:val="1"/>
      <w:numFmt w:val="bullet"/>
      <w:lvlText w:val="•"/>
      <w:lvlJc w:val="left"/>
      <w:pPr>
        <w:tabs>
          <w:tab w:val="num" w:pos="2520"/>
        </w:tabs>
        <w:ind w:left="2520" w:hanging="360"/>
      </w:pPr>
      <w:rPr>
        <w:rFonts w:ascii="Arial" w:hAnsi="Arial" w:hint="default"/>
      </w:rPr>
    </w:lvl>
    <w:lvl w:ilvl="4" w:tplc="E970F57A" w:tentative="1">
      <w:start w:val="1"/>
      <w:numFmt w:val="bullet"/>
      <w:lvlText w:val="•"/>
      <w:lvlJc w:val="left"/>
      <w:pPr>
        <w:tabs>
          <w:tab w:val="num" w:pos="3240"/>
        </w:tabs>
        <w:ind w:left="3240" w:hanging="360"/>
      </w:pPr>
      <w:rPr>
        <w:rFonts w:ascii="Arial" w:hAnsi="Arial" w:hint="default"/>
      </w:rPr>
    </w:lvl>
    <w:lvl w:ilvl="5" w:tplc="112077E4" w:tentative="1">
      <w:start w:val="1"/>
      <w:numFmt w:val="bullet"/>
      <w:lvlText w:val="•"/>
      <w:lvlJc w:val="left"/>
      <w:pPr>
        <w:tabs>
          <w:tab w:val="num" w:pos="3960"/>
        </w:tabs>
        <w:ind w:left="3960" w:hanging="360"/>
      </w:pPr>
      <w:rPr>
        <w:rFonts w:ascii="Arial" w:hAnsi="Arial" w:hint="default"/>
      </w:rPr>
    </w:lvl>
    <w:lvl w:ilvl="6" w:tplc="CE24E718" w:tentative="1">
      <w:start w:val="1"/>
      <w:numFmt w:val="bullet"/>
      <w:lvlText w:val="•"/>
      <w:lvlJc w:val="left"/>
      <w:pPr>
        <w:tabs>
          <w:tab w:val="num" w:pos="4680"/>
        </w:tabs>
        <w:ind w:left="4680" w:hanging="360"/>
      </w:pPr>
      <w:rPr>
        <w:rFonts w:ascii="Arial" w:hAnsi="Arial" w:hint="default"/>
      </w:rPr>
    </w:lvl>
    <w:lvl w:ilvl="7" w:tplc="35964862" w:tentative="1">
      <w:start w:val="1"/>
      <w:numFmt w:val="bullet"/>
      <w:lvlText w:val="•"/>
      <w:lvlJc w:val="left"/>
      <w:pPr>
        <w:tabs>
          <w:tab w:val="num" w:pos="5400"/>
        </w:tabs>
        <w:ind w:left="5400" w:hanging="360"/>
      </w:pPr>
      <w:rPr>
        <w:rFonts w:ascii="Arial" w:hAnsi="Arial" w:hint="default"/>
      </w:rPr>
    </w:lvl>
    <w:lvl w:ilvl="8" w:tplc="4C6E7D9C"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DCC5A0B"/>
    <w:multiLevelType w:val="hybridMultilevel"/>
    <w:tmpl w:val="1DA0C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263636"/>
    <w:multiLevelType w:val="hybridMultilevel"/>
    <w:tmpl w:val="D10C7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A3100A"/>
    <w:multiLevelType w:val="hybridMultilevel"/>
    <w:tmpl w:val="01B84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1F78D9"/>
    <w:multiLevelType w:val="hybridMultilevel"/>
    <w:tmpl w:val="D354D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E57D35"/>
    <w:multiLevelType w:val="hybridMultilevel"/>
    <w:tmpl w:val="8124B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31027A"/>
    <w:multiLevelType w:val="hybridMultilevel"/>
    <w:tmpl w:val="7400C0DE"/>
    <w:lvl w:ilvl="0" w:tplc="BF92BB26">
      <w:start w:val="1"/>
      <w:numFmt w:val="bullet"/>
      <w:lvlText w:val="•"/>
      <w:lvlJc w:val="left"/>
      <w:pPr>
        <w:tabs>
          <w:tab w:val="num" w:pos="720"/>
        </w:tabs>
        <w:ind w:left="720" w:hanging="360"/>
      </w:pPr>
      <w:rPr>
        <w:rFonts w:ascii="Arial" w:hAnsi="Arial" w:hint="default"/>
      </w:rPr>
    </w:lvl>
    <w:lvl w:ilvl="1" w:tplc="2D86C306">
      <w:start w:val="110"/>
      <w:numFmt w:val="bullet"/>
      <w:lvlText w:val="–"/>
      <w:lvlJc w:val="left"/>
      <w:pPr>
        <w:tabs>
          <w:tab w:val="num" w:pos="1440"/>
        </w:tabs>
        <w:ind w:left="1440" w:hanging="360"/>
      </w:pPr>
      <w:rPr>
        <w:rFonts w:ascii="Arial" w:hAnsi="Arial" w:hint="default"/>
      </w:rPr>
    </w:lvl>
    <w:lvl w:ilvl="2" w:tplc="4D6A5148" w:tentative="1">
      <w:start w:val="1"/>
      <w:numFmt w:val="bullet"/>
      <w:lvlText w:val="•"/>
      <w:lvlJc w:val="left"/>
      <w:pPr>
        <w:tabs>
          <w:tab w:val="num" w:pos="2160"/>
        </w:tabs>
        <w:ind w:left="2160" w:hanging="360"/>
      </w:pPr>
      <w:rPr>
        <w:rFonts w:ascii="Arial" w:hAnsi="Arial" w:hint="default"/>
      </w:rPr>
    </w:lvl>
    <w:lvl w:ilvl="3" w:tplc="936C23FA" w:tentative="1">
      <w:start w:val="1"/>
      <w:numFmt w:val="bullet"/>
      <w:lvlText w:val="•"/>
      <w:lvlJc w:val="left"/>
      <w:pPr>
        <w:tabs>
          <w:tab w:val="num" w:pos="2880"/>
        </w:tabs>
        <w:ind w:left="2880" w:hanging="360"/>
      </w:pPr>
      <w:rPr>
        <w:rFonts w:ascii="Arial" w:hAnsi="Arial" w:hint="default"/>
      </w:rPr>
    </w:lvl>
    <w:lvl w:ilvl="4" w:tplc="B2DEA122" w:tentative="1">
      <w:start w:val="1"/>
      <w:numFmt w:val="bullet"/>
      <w:lvlText w:val="•"/>
      <w:lvlJc w:val="left"/>
      <w:pPr>
        <w:tabs>
          <w:tab w:val="num" w:pos="3600"/>
        </w:tabs>
        <w:ind w:left="3600" w:hanging="360"/>
      </w:pPr>
      <w:rPr>
        <w:rFonts w:ascii="Arial" w:hAnsi="Arial" w:hint="default"/>
      </w:rPr>
    </w:lvl>
    <w:lvl w:ilvl="5" w:tplc="2BE42FA6" w:tentative="1">
      <w:start w:val="1"/>
      <w:numFmt w:val="bullet"/>
      <w:lvlText w:val="•"/>
      <w:lvlJc w:val="left"/>
      <w:pPr>
        <w:tabs>
          <w:tab w:val="num" w:pos="4320"/>
        </w:tabs>
        <w:ind w:left="4320" w:hanging="360"/>
      </w:pPr>
      <w:rPr>
        <w:rFonts w:ascii="Arial" w:hAnsi="Arial" w:hint="default"/>
      </w:rPr>
    </w:lvl>
    <w:lvl w:ilvl="6" w:tplc="3AEA7328" w:tentative="1">
      <w:start w:val="1"/>
      <w:numFmt w:val="bullet"/>
      <w:lvlText w:val="•"/>
      <w:lvlJc w:val="left"/>
      <w:pPr>
        <w:tabs>
          <w:tab w:val="num" w:pos="5040"/>
        </w:tabs>
        <w:ind w:left="5040" w:hanging="360"/>
      </w:pPr>
      <w:rPr>
        <w:rFonts w:ascii="Arial" w:hAnsi="Arial" w:hint="default"/>
      </w:rPr>
    </w:lvl>
    <w:lvl w:ilvl="7" w:tplc="5768CCE8" w:tentative="1">
      <w:start w:val="1"/>
      <w:numFmt w:val="bullet"/>
      <w:lvlText w:val="•"/>
      <w:lvlJc w:val="left"/>
      <w:pPr>
        <w:tabs>
          <w:tab w:val="num" w:pos="5760"/>
        </w:tabs>
        <w:ind w:left="5760" w:hanging="360"/>
      </w:pPr>
      <w:rPr>
        <w:rFonts w:ascii="Arial" w:hAnsi="Arial" w:hint="default"/>
      </w:rPr>
    </w:lvl>
    <w:lvl w:ilvl="8" w:tplc="5D66A77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3067BFD"/>
    <w:multiLevelType w:val="hybridMultilevel"/>
    <w:tmpl w:val="E31C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left="31680" w:firstLine="0"/>
      </w:pPr>
      <w:rPr>
        <w:rFonts w:hint="default"/>
      </w:rPr>
    </w:lvl>
    <w:lvl w:ilvl="5">
      <w:start w:val="1"/>
      <w:numFmt w:val="decimal"/>
      <w:lvlRestart w:val="0"/>
      <w:pStyle w:val="Heading5"/>
      <w:lvlText w:val="%1.%2.%3.%4%5.%6"/>
      <w:lvlJc w:val="left"/>
      <w:pPr>
        <w:tabs>
          <w:tab w:val="num" w:pos="31680"/>
        </w:tabs>
        <w:ind w:left="31680" w:firstLine="0"/>
      </w:pPr>
      <w:rPr>
        <w:rFonts w:hint="default"/>
      </w:rPr>
    </w:lvl>
    <w:lvl w:ilvl="6">
      <w:start w:val="1"/>
      <w:numFmt w:val="decimal"/>
      <w:pStyle w:val="Heading7"/>
      <w:lvlText w:val="%1.%2.%3.%4.%5.%6.%7"/>
      <w:lvlJc w:val="left"/>
      <w:pPr>
        <w:tabs>
          <w:tab w:val="num" w:pos="31680"/>
        </w:tabs>
        <w:ind w:left="31680" w:firstLine="0"/>
      </w:pPr>
      <w:rPr>
        <w:rFonts w:hint="default"/>
      </w:rPr>
    </w:lvl>
    <w:lvl w:ilvl="7">
      <w:start w:val="1"/>
      <w:numFmt w:val="decimal"/>
      <w:pStyle w:val="Heading8"/>
      <w:lvlText w:val="%1.%2.%3.%4.%5.%6.%7.%8"/>
      <w:lvlJc w:val="left"/>
      <w:pPr>
        <w:tabs>
          <w:tab w:val="num" w:pos="31680"/>
        </w:tabs>
        <w:ind w:left="31680" w:firstLine="0"/>
      </w:pPr>
      <w:rPr>
        <w:rFonts w:hint="default"/>
      </w:rPr>
    </w:lvl>
    <w:lvl w:ilvl="8">
      <w:start w:val="1"/>
      <w:numFmt w:val="decimal"/>
      <w:pStyle w:val="Heading9"/>
      <w:lvlText w:val="%1.%2.%3.%4.%5.%6.%7.%8.%9"/>
      <w:lvlJc w:val="left"/>
      <w:pPr>
        <w:tabs>
          <w:tab w:val="num" w:pos="31680"/>
        </w:tabs>
        <w:ind w:left="31680" w:firstLine="0"/>
      </w:pPr>
      <w:rPr>
        <w:rFonts w:hint="default"/>
      </w:rPr>
    </w:lvl>
  </w:abstractNum>
  <w:abstractNum w:abstractNumId="21" w15:restartNumberingAfterBreak="0">
    <w:nsid w:val="4A4633E1"/>
    <w:multiLevelType w:val="hybridMultilevel"/>
    <w:tmpl w:val="02BE6D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071801"/>
    <w:multiLevelType w:val="hybridMultilevel"/>
    <w:tmpl w:val="38D23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2D2933"/>
    <w:multiLevelType w:val="hybridMultilevel"/>
    <w:tmpl w:val="AD7A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284C51"/>
    <w:multiLevelType w:val="hybridMultilevel"/>
    <w:tmpl w:val="06A666FE"/>
    <w:lvl w:ilvl="0" w:tplc="F2C064F8">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F7441EE"/>
    <w:multiLevelType w:val="hybridMultilevel"/>
    <w:tmpl w:val="F54E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8949B5"/>
    <w:multiLevelType w:val="hybridMultilevel"/>
    <w:tmpl w:val="C20E3486"/>
    <w:lvl w:ilvl="0" w:tplc="40AA170E">
      <w:start w:val="1"/>
      <w:numFmt w:val="bullet"/>
      <w:lvlText w:val="•"/>
      <w:lvlJc w:val="left"/>
      <w:pPr>
        <w:tabs>
          <w:tab w:val="num" w:pos="720"/>
        </w:tabs>
        <w:ind w:left="720" w:hanging="360"/>
      </w:pPr>
      <w:rPr>
        <w:rFonts w:ascii="Arial" w:hAnsi="Arial" w:hint="default"/>
      </w:rPr>
    </w:lvl>
    <w:lvl w:ilvl="1" w:tplc="C16A972C">
      <w:start w:val="22177"/>
      <w:numFmt w:val="bullet"/>
      <w:lvlText w:val="–"/>
      <w:lvlJc w:val="left"/>
      <w:pPr>
        <w:tabs>
          <w:tab w:val="num" w:pos="1440"/>
        </w:tabs>
        <w:ind w:left="1440" w:hanging="360"/>
      </w:pPr>
      <w:rPr>
        <w:rFonts w:ascii="Arial" w:hAnsi="Arial" w:hint="default"/>
      </w:rPr>
    </w:lvl>
    <w:lvl w:ilvl="2" w:tplc="020020AC">
      <w:start w:val="22177"/>
      <w:numFmt w:val="bullet"/>
      <w:lvlText w:val="•"/>
      <w:lvlJc w:val="left"/>
      <w:pPr>
        <w:tabs>
          <w:tab w:val="num" w:pos="2160"/>
        </w:tabs>
        <w:ind w:left="2160" w:hanging="360"/>
      </w:pPr>
      <w:rPr>
        <w:rFonts w:ascii="Arial" w:hAnsi="Arial" w:hint="default"/>
      </w:rPr>
    </w:lvl>
    <w:lvl w:ilvl="3" w:tplc="DD361500" w:tentative="1">
      <w:start w:val="1"/>
      <w:numFmt w:val="bullet"/>
      <w:lvlText w:val="•"/>
      <w:lvlJc w:val="left"/>
      <w:pPr>
        <w:tabs>
          <w:tab w:val="num" w:pos="2880"/>
        </w:tabs>
        <w:ind w:left="2880" w:hanging="360"/>
      </w:pPr>
      <w:rPr>
        <w:rFonts w:ascii="Arial" w:hAnsi="Arial" w:hint="default"/>
      </w:rPr>
    </w:lvl>
    <w:lvl w:ilvl="4" w:tplc="247C27C6" w:tentative="1">
      <w:start w:val="1"/>
      <w:numFmt w:val="bullet"/>
      <w:lvlText w:val="•"/>
      <w:lvlJc w:val="left"/>
      <w:pPr>
        <w:tabs>
          <w:tab w:val="num" w:pos="3600"/>
        </w:tabs>
        <w:ind w:left="3600" w:hanging="360"/>
      </w:pPr>
      <w:rPr>
        <w:rFonts w:ascii="Arial" w:hAnsi="Arial" w:hint="default"/>
      </w:rPr>
    </w:lvl>
    <w:lvl w:ilvl="5" w:tplc="46384992" w:tentative="1">
      <w:start w:val="1"/>
      <w:numFmt w:val="bullet"/>
      <w:lvlText w:val="•"/>
      <w:lvlJc w:val="left"/>
      <w:pPr>
        <w:tabs>
          <w:tab w:val="num" w:pos="4320"/>
        </w:tabs>
        <w:ind w:left="4320" w:hanging="360"/>
      </w:pPr>
      <w:rPr>
        <w:rFonts w:ascii="Arial" w:hAnsi="Arial" w:hint="default"/>
      </w:rPr>
    </w:lvl>
    <w:lvl w:ilvl="6" w:tplc="B7EA1F66" w:tentative="1">
      <w:start w:val="1"/>
      <w:numFmt w:val="bullet"/>
      <w:lvlText w:val="•"/>
      <w:lvlJc w:val="left"/>
      <w:pPr>
        <w:tabs>
          <w:tab w:val="num" w:pos="5040"/>
        </w:tabs>
        <w:ind w:left="5040" w:hanging="360"/>
      </w:pPr>
      <w:rPr>
        <w:rFonts w:ascii="Arial" w:hAnsi="Arial" w:hint="default"/>
      </w:rPr>
    </w:lvl>
    <w:lvl w:ilvl="7" w:tplc="036E0ED4" w:tentative="1">
      <w:start w:val="1"/>
      <w:numFmt w:val="bullet"/>
      <w:lvlText w:val="•"/>
      <w:lvlJc w:val="left"/>
      <w:pPr>
        <w:tabs>
          <w:tab w:val="num" w:pos="5760"/>
        </w:tabs>
        <w:ind w:left="5760" w:hanging="360"/>
      </w:pPr>
      <w:rPr>
        <w:rFonts w:ascii="Arial" w:hAnsi="Arial" w:hint="default"/>
      </w:rPr>
    </w:lvl>
    <w:lvl w:ilvl="8" w:tplc="2C2AA30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1C76433"/>
    <w:multiLevelType w:val="hybridMultilevel"/>
    <w:tmpl w:val="6772D90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9" w15:restartNumberingAfterBreak="0">
    <w:nsid w:val="63A50CB1"/>
    <w:multiLevelType w:val="hybridMultilevel"/>
    <w:tmpl w:val="4BB49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636D15"/>
    <w:multiLevelType w:val="hybridMultilevel"/>
    <w:tmpl w:val="F70E6E6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1" w15:restartNumberingAfterBreak="0">
    <w:nsid w:val="6B503141"/>
    <w:multiLevelType w:val="hybridMultilevel"/>
    <w:tmpl w:val="A3CE8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E42516"/>
    <w:multiLevelType w:val="hybridMultilevel"/>
    <w:tmpl w:val="0112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32"/>
  </w:num>
  <w:num w:numId="3">
    <w:abstractNumId w:val="34"/>
  </w:num>
  <w:num w:numId="4">
    <w:abstractNumId w:val="13"/>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2"/>
  </w:num>
  <w:num w:numId="8">
    <w:abstractNumId w:val="9"/>
  </w:num>
  <w:num w:numId="9">
    <w:abstractNumId w:val="22"/>
  </w:num>
  <w:num w:numId="10">
    <w:abstractNumId w:val="5"/>
  </w:num>
  <w:num w:numId="11">
    <w:abstractNumId w:val="18"/>
  </w:num>
  <w:num w:numId="12">
    <w:abstractNumId w:val="8"/>
  </w:num>
  <w:num w:numId="13">
    <w:abstractNumId w:val="17"/>
  </w:num>
  <w:num w:numId="14">
    <w:abstractNumId w:val="2"/>
  </w:num>
  <w:num w:numId="15">
    <w:abstractNumId w:val="36"/>
  </w:num>
  <w:num w:numId="16">
    <w:abstractNumId w:val="27"/>
  </w:num>
  <w:num w:numId="17">
    <w:abstractNumId w:val="10"/>
  </w:num>
  <w:num w:numId="18">
    <w:abstractNumId w:val="35"/>
  </w:num>
  <w:num w:numId="19">
    <w:abstractNumId w:val="26"/>
  </w:num>
  <w:num w:numId="20">
    <w:abstractNumId w:val="16"/>
  </w:num>
  <w:num w:numId="21">
    <w:abstractNumId w:val="29"/>
  </w:num>
  <w:num w:numId="22">
    <w:abstractNumId w:val="24"/>
  </w:num>
  <w:num w:numId="23">
    <w:abstractNumId w:val="6"/>
  </w:num>
  <w:num w:numId="24">
    <w:abstractNumId w:val="1"/>
    <w:lvlOverride w:ilvl="0">
      <w:lvl w:ilvl="0">
        <w:start w:val="1"/>
        <w:numFmt w:val="bullet"/>
        <w:pStyle w:val="CharChar3CharCharCharCharCharChar"/>
        <w:lvlText w:val=""/>
        <w:legacy w:legacy="1" w:legacySpace="0" w:legacyIndent="360"/>
        <w:lvlJc w:val="left"/>
        <w:pPr>
          <w:ind w:left="360" w:hanging="360"/>
        </w:pPr>
        <w:rPr>
          <w:rFonts w:ascii="Symbol" w:hAnsi="Symbol" w:hint="default"/>
        </w:rPr>
      </w:lvl>
    </w:lvlOverride>
  </w:num>
  <w:num w:numId="25">
    <w:abstractNumId w:val="30"/>
  </w:num>
  <w:num w:numId="26">
    <w:abstractNumId w:val="33"/>
  </w:num>
  <w:num w:numId="27">
    <w:abstractNumId w:val="7"/>
  </w:num>
  <w:num w:numId="28">
    <w:abstractNumId w:val="31"/>
  </w:num>
  <w:num w:numId="29">
    <w:abstractNumId w:val="19"/>
  </w:num>
  <w:num w:numId="30">
    <w:abstractNumId w:val="15"/>
  </w:num>
  <w:num w:numId="31">
    <w:abstractNumId w:val="23"/>
  </w:num>
  <w:num w:numId="32">
    <w:abstractNumId w:val="11"/>
  </w:num>
  <w:num w:numId="33">
    <w:abstractNumId w:val="3"/>
  </w:num>
  <w:num w:numId="34">
    <w:abstractNumId w:val="14"/>
  </w:num>
  <w:num w:numId="35">
    <w:abstractNumId w:val="28"/>
  </w:num>
  <w:num w:numId="36">
    <w:abstractNumId w:val="4"/>
  </w:num>
  <w:num w:numId="37">
    <w:abstractNumId w:val="25"/>
  </w:num>
  <w:num w:numId="38">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EE0"/>
    <w:rsid w:val="00011027"/>
    <w:rsid w:val="000110F8"/>
    <w:rsid w:val="000115E6"/>
    <w:rsid w:val="0001181D"/>
    <w:rsid w:val="000118D9"/>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11"/>
    <w:rsid w:val="0001465F"/>
    <w:rsid w:val="00014D51"/>
    <w:rsid w:val="00014FFF"/>
    <w:rsid w:val="0001514A"/>
    <w:rsid w:val="00015595"/>
    <w:rsid w:val="00015794"/>
    <w:rsid w:val="00015CF2"/>
    <w:rsid w:val="000161E5"/>
    <w:rsid w:val="000167F5"/>
    <w:rsid w:val="00016A10"/>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1B8"/>
    <w:rsid w:val="000302CB"/>
    <w:rsid w:val="00030390"/>
    <w:rsid w:val="0003043E"/>
    <w:rsid w:val="00030480"/>
    <w:rsid w:val="000306D8"/>
    <w:rsid w:val="000306E1"/>
    <w:rsid w:val="00030D6A"/>
    <w:rsid w:val="0003108E"/>
    <w:rsid w:val="000311C6"/>
    <w:rsid w:val="000316B9"/>
    <w:rsid w:val="000317A7"/>
    <w:rsid w:val="000318E5"/>
    <w:rsid w:val="00032759"/>
    <w:rsid w:val="00032846"/>
    <w:rsid w:val="00032A06"/>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6F3"/>
    <w:rsid w:val="00053E7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928"/>
    <w:rsid w:val="00090BB8"/>
    <w:rsid w:val="00091B10"/>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1F7"/>
    <w:rsid w:val="000B7352"/>
    <w:rsid w:val="000B7371"/>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0F2"/>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4E7"/>
    <w:rsid w:val="00107FAE"/>
    <w:rsid w:val="00110288"/>
    <w:rsid w:val="00110380"/>
    <w:rsid w:val="001107B5"/>
    <w:rsid w:val="00110CCF"/>
    <w:rsid w:val="00110EAD"/>
    <w:rsid w:val="00110F48"/>
    <w:rsid w:val="001111B6"/>
    <w:rsid w:val="00111502"/>
    <w:rsid w:val="0011169A"/>
    <w:rsid w:val="00111827"/>
    <w:rsid w:val="00111A90"/>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2CC"/>
    <w:rsid w:val="00115DCE"/>
    <w:rsid w:val="00115EEF"/>
    <w:rsid w:val="00116046"/>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14CD"/>
    <w:rsid w:val="00131543"/>
    <w:rsid w:val="00131569"/>
    <w:rsid w:val="00131793"/>
    <w:rsid w:val="00131E99"/>
    <w:rsid w:val="00131FD4"/>
    <w:rsid w:val="00133103"/>
    <w:rsid w:val="00133156"/>
    <w:rsid w:val="0013328B"/>
    <w:rsid w:val="001340F3"/>
    <w:rsid w:val="0013441D"/>
    <w:rsid w:val="00134714"/>
    <w:rsid w:val="00134A77"/>
    <w:rsid w:val="00134AF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D17"/>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67F07"/>
    <w:rsid w:val="00170570"/>
    <w:rsid w:val="001706FF"/>
    <w:rsid w:val="001709BD"/>
    <w:rsid w:val="00170C0A"/>
    <w:rsid w:val="00170E74"/>
    <w:rsid w:val="00171C07"/>
    <w:rsid w:val="00171D23"/>
    <w:rsid w:val="00171E83"/>
    <w:rsid w:val="0017221A"/>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93C"/>
    <w:rsid w:val="00194F63"/>
    <w:rsid w:val="00195578"/>
    <w:rsid w:val="001956A0"/>
    <w:rsid w:val="00195A89"/>
    <w:rsid w:val="00195FDF"/>
    <w:rsid w:val="001961E0"/>
    <w:rsid w:val="001966D2"/>
    <w:rsid w:val="00196FDA"/>
    <w:rsid w:val="001971C3"/>
    <w:rsid w:val="001972BE"/>
    <w:rsid w:val="0019779B"/>
    <w:rsid w:val="00197B18"/>
    <w:rsid w:val="00197F58"/>
    <w:rsid w:val="001A040A"/>
    <w:rsid w:val="001A054F"/>
    <w:rsid w:val="001A0A24"/>
    <w:rsid w:val="001A0B09"/>
    <w:rsid w:val="001A12A8"/>
    <w:rsid w:val="001A12AC"/>
    <w:rsid w:val="001A14A3"/>
    <w:rsid w:val="001A14BF"/>
    <w:rsid w:val="001A177A"/>
    <w:rsid w:val="001A1821"/>
    <w:rsid w:val="001A1B9D"/>
    <w:rsid w:val="001A1D6F"/>
    <w:rsid w:val="001A21C5"/>
    <w:rsid w:val="001A24F6"/>
    <w:rsid w:val="001A297B"/>
    <w:rsid w:val="001A2D86"/>
    <w:rsid w:val="001A2F89"/>
    <w:rsid w:val="001A3553"/>
    <w:rsid w:val="001A3F9E"/>
    <w:rsid w:val="001A4C57"/>
    <w:rsid w:val="001A4E23"/>
    <w:rsid w:val="001A50B1"/>
    <w:rsid w:val="001A5820"/>
    <w:rsid w:val="001A584A"/>
    <w:rsid w:val="001A5F42"/>
    <w:rsid w:val="001A6604"/>
    <w:rsid w:val="001A696C"/>
    <w:rsid w:val="001A6DDC"/>
    <w:rsid w:val="001A701F"/>
    <w:rsid w:val="001A745C"/>
    <w:rsid w:val="001A79A4"/>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A27"/>
    <w:rsid w:val="001B2C92"/>
    <w:rsid w:val="001B2D18"/>
    <w:rsid w:val="001B3291"/>
    <w:rsid w:val="001B3758"/>
    <w:rsid w:val="001B39EB"/>
    <w:rsid w:val="001B3A40"/>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64F"/>
    <w:rsid w:val="001C11F9"/>
    <w:rsid w:val="001C1821"/>
    <w:rsid w:val="001C186D"/>
    <w:rsid w:val="001C21A5"/>
    <w:rsid w:val="001C246A"/>
    <w:rsid w:val="001C2CB3"/>
    <w:rsid w:val="001C2D43"/>
    <w:rsid w:val="001C3175"/>
    <w:rsid w:val="001C3588"/>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D37"/>
    <w:rsid w:val="001E2EF6"/>
    <w:rsid w:val="001E31EE"/>
    <w:rsid w:val="001E32E0"/>
    <w:rsid w:val="001E3571"/>
    <w:rsid w:val="001E3ECE"/>
    <w:rsid w:val="001E432B"/>
    <w:rsid w:val="001E443A"/>
    <w:rsid w:val="001E52E9"/>
    <w:rsid w:val="001E537A"/>
    <w:rsid w:val="001E57E7"/>
    <w:rsid w:val="001E584A"/>
    <w:rsid w:val="001E5958"/>
    <w:rsid w:val="001E5994"/>
    <w:rsid w:val="001E5B7F"/>
    <w:rsid w:val="001E6058"/>
    <w:rsid w:val="001E6155"/>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020"/>
    <w:rsid w:val="001F229B"/>
    <w:rsid w:val="001F2584"/>
    <w:rsid w:val="001F2871"/>
    <w:rsid w:val="001F2BBC"/>
    <w:rsid w:val="001F2C22"/>
    <w:rsid w:val="001F2F28"/>
    <w:rsid w:val="001F305A"/>
    <w:rsid w:val="001F3764"/>
    <w:rsid w:val="001F385A"/>
    <w:rsid w:val="001F3907"/>
    <w:rsid w:val="001F3935"/>
    <w:rsid w:val="001F3E73"/>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766"/>
    <w:rsid w:val="00214095"/>
    <w:rsid w:val="002142D2"/>
    <w:rsid w:val="0021443F"/>
    <w:rsid w:val="0021455A"/>
    <w:rsid w:val="00214938"/>
    <w:rsid w:val="00214FC9"/>
    <w:rsid w:val="0021523B"/>
    <w:rsid w:val="0021593F"/>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9BA"/>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3F"/>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D93"/>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90020"/>
    <w:rsid w:val="00290419"/>
    <w:rsid w:val="0029073A"/>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97C07"/>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AB3"/>
    <w:rsid w:val="002B4CE9"/>
    <w:rsid w:val="002B4D87"/>
    <w:rsid w:val="002B51D0"/>
    <w:rsid w:val="002B55F3"/>
    <w:rsid w:val="002B57A9"/>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19"/>
    <w:rsid w:val="002D0C59"/>
    <w:rsid w:val="002D0C83"/>
    <w:rsid w:val="002D0C99"/>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F91"/>
    <w:rsid w:val="002F3196"/>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552"/>
    <w:rsid w:val="00321D66"/>
    <w:rsid w:val="00321EE2"/>
    <w:rsid w:val="003220E3"/>
    <w:rsid w:val="00322EBD"/>
    <w:rsid w:val="00322FEE"/>
    <w:rsid w:val="00323460"/>
    <w:rsid w:val="00323AFC"/>
    <w:rsid w:val="00323CEE"/>
    <w:rsid w:val="00323F04"/>
    <w:rsid w:val="00324259"/>
    <w:rsid w:val="00324497"/>
    <w:rsid w:val="0032488E"/>
    <w:rsid w:val="00324937"/>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4C1"/>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4EC3"/>
    <w:rsid w:val="00385043"/>
    <w:rsid w:val="003850E8"/>
    <w:rsid w:val="00385727"/>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14E"/>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AEC"/>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2FEE"/>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2DF"/>
    <w:rsid w:val="00435452"/>
    <w:rsid w:val="00435632"/>
    <w:rsid w:val="00435993"/>
    <w:rsid w:val="00435996"/>
    <w:rsid w:val="00435DED"/>
    <w:rsid w:val="00435E5E"/>
    <w:rsid w:val="00435F15"/>
    <w:rsid w:val="00436067"/>
    <w:rsid w:val="00436263"/>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156"/>
    <w:rsid w:val="00450366"/>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E85"/>
    <w:rsid w:val="00462458"/>
    <w:rsid w:val="00462ADE"/>
    <w:rsid w:val="00462CC3"/>
    <w:rsid w:val="00462F48"/>
    <w:rsid w:val="0046324E"/>
    <w:rsid w:val="004633F0"/>
    <w:rsid w:val="0046363B"/>
    <w:rsid w:val="004636BA"/>
    <w:rsid w:val="00463826"/>
    <w:rsid w:val="00463ABC"/>
    <w:rsid w:val="00463B2B"/>
    <w:rsid w:val="00463DD0"/>
    <w:rsid w:val="00464439"/>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245"/>
    <w:rsid w:val="004A4102"/>
    <w:rsid w:val="004A454B"/>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1277"/>
    <w:rsid w:val="004D1286"/>
    <w:rsid w:val="004D1352"/>
    <w:rsid w:val="004D174D"/>
    <w:rsid w:val="004D18E2"/>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2B7"/>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6DA"/>
    <w:rsid w:val="005151D3"/>
    <w:rsid w:val="00515AB2"/>
    <w:rsid w:val="00515D82"/>
    <w:rsid w:val="00515E37"/>
    <w:rsid w:val="00515FF1"/>
    <w:rsid w:val="0051612C"/>
    <w:rsid w:val="005167E8"/>
    <w:rsid w:val="00516B26"/>
    <w:rsid w:val="00516CC1"/>
    <w:rsid w:val="00517803"/>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A52"/>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D3E"/>
    <w:rsid w:val="00536ED8"/>
    <w:rsid w:val="00536FE1"/>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06F"/>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32D"/>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7AF"/>
    <w:rsid w:val="005E3956"/>
    <w:rsid w:val="005E3C68"/>
    <w:rsid w:val="005E46A7"/>
    <w:rsid w:val="005E46C2"/>
    <w:rsid w:val="005E49F2"/>
    <w:rsid w:val="005E4B96"/>
    <w:rsid w:val="005E4DD4"/>
    <w:rsid w:val="005E4F0B"/>
    <w:rsid w:val="005E513F"/>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50F7"/>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40B19"/>
    <w:rsid w:val="00640C2E"/>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CD3"/>
    <w:rsid w:val="00643ECF"/>
    <w:rsid w:val="00643FD3"/>
    <w:rsid w:val="006443EF"/>
    <w:rsid w:val="00644C82"/>
    <w:rsid w:val="006453D5"/>
    <w:rsid w:val="00645E08"/>
    <w:rsid w:val="006460BD"/>
    <w:rsid w:val="006463D9"/>
    <w:rsid w:val="00646597"/>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5AE"/>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E64"/>
    <w:rsid w:val="00672F0E"/>
    <w:rsid w:val="00673193"/>
    <w:rsid w:val="006731A0"/>
    <w:rsid w:val="00673582"/>
    <w:rsid w:val="00673645"/>
    <w:rsid w:val="006737A5"/>
    <w:rsid w:val="00673FF1"/>
    <w:rsid w:val="006744D9"/>
    <w:rsid w:val="00674DBA"/>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FF4"/>
    <w:rsid w:val="006A5467"/>
    <w:rsid w:val="006A549A"/>
    <w:rsid w:val="006A5D49"/>
    <w:rsid w:val="006A64C8"/>
    <w:rsid w:val="006A6A94"/>
    <w:rsid w:val="006A6B7C"/>
    <w:rsid w:val="006A7EBF"/>
    <w:rsid w:val="006B0041"/>
    <w:rsid w:val="006B0098"/>
    <w:rsid w:val="006B0113"/>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9C9"/>
    <w:rsid w:val="00721C31"/>
    <w:rsid w:val="00721CB7"/>
    <w:rsid w:val="00721FD3"/>
    <w:rsid w:val="0072206D"/>
    <w:rsid w:val="007225D7"/>
    <w:rsid w:val="007227D7"/>
    <w:rsid w:val="00722B0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14"/>
    <w:rsid w:val="00752E7F"/>
    <w:rsid w:val="00753A1B"/>
    <w:rsid w:val="00754124"/>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BFF"/>
    <w:rsid w:val="00773F65"/>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4143"/>
    <w:rsid w:val="007843E3"/>
    <w:rsid w:val="007846C3"/>
    <w:rsid w:val="007846F4"/>
    <w:rsid w:val="00784797"/>
    <w:rsid w:val="007848DF"/>
    <w:rsid w:val="00784CB7"/>
    <w:rsid w:val="0078579A"/>
    <w:rsid w:val="007858F6"/>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B5D"/>
    <w:rsid w:val="007A7BCA"/>
    <w:rsid w:val="007A7E0E"/>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A7A"/>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7B4"/>
    <w:rsid w:val="007D7872"/>
    <w:rsid w:val="007D78C4"/>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300"/>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B4A"/>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DBD"/>
    <w:rsid w:val="00830E69"/>
    <w:rsid w:val="008310D9"/>
    <w:rsid w:val="008314CB"/>
    <w:rsid w:val="008318A3"/>
    <w:rsid w:val="008319D8"/>
    <w:rsid w:val="008323FE"/>
    <w:rsid w:val="0083247C"/>
    <w:rsid w:val="0083297F"/>
    <w:rsid w:val="00832EF7"/>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53D"/>
    <w:rsid w:val="00836C03"/>
    <w:rsid w:val="00836C74"/>
    <w:rsid w:val="0083737F"/>
    <w:rsid w:val="00837AA5"/>
    <w:rsid w:val="0084009E"/>
    <w:rsid w:val="0084048C"/>
    <w:rsid w:val="0084078A"/>
    <w:rsid w:val="0084182C"/>
    <w:rsid w:val="00841A53"/>
    <w:rsid w:val="00842D4C"/>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61D"/>
    <w:rsid w:val="00851719"/>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2AE"/>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2F9"/>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58C6"/>
    <w:rsid w:val="0093626B"/>
    <w:rsid w:val="00936571"/>
    <w:rsid w:val="00936BAC"/>
    <w:rsid w:val="00936E29"/>
    <w:rsid w:val="00936FC1"/>
    <w:rsid w:val="009371A0"/>
    <w:rsid w:val="0093763B"/>
    <w:rsid w:val="009379C5"/>
    <w:rsid w:val="00937F58"/>
    <w:rsid w:val="00940048"/>
    <w:rsid w:val="00940195"/>
    <w:rsid w:val="009401D3"/>
    <w:rsid w:val="00940474"/>
    <w:rsid w:val="00940589"/>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BF2"/>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431"/>
    <w:rsid w:val="009670F9"/>
    <w:rsid w:val="00967A57"/>
    <w:rsid w:val="00967DF8"/>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42F0"/>
    <w:rsid w:val="009A43D3"/>
    <w:rsid w:val="009A4601"/>
    <w:rsid w:val="009A4651"/>
    <w:rsid w:val="009A48D6"/>
    <w:rsid w:val="009A4903"/>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BF"/>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B82"/>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557"/>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1F8"/>
    <w:rsid w:val="00AF3404"/>
    <w:rsid w:val="00AF3560"/>
    <w:rsid w:val="00AF37CB"/>
    <w:rsid w:val="00AF3D51"/>
    <w:rsid w:val="00AF3ECA"/>
    <w:rsid w:val="00AF4355"/>
    <w:rsid w:val="00AF46A5"/>
    <w:rsid w:val="00AF48FC"/>
    <w:rsid w:val="00AF4A65"/>
    <w:rsid w:val="00AF4BB1"/>
    <w:rsid w:val="00AF4EB8"/>
    <w:rsid w:val="00AF56DB"/>
    <w:rsid w:val="00AF5FEB"/>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797"/>
    <w:rsid w:val="00B11D85"/>
    <w:rsid w:val="00B12283"/>
    <w:rsid w:val="00B128D7"/>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ABC"/>
    <w:rsid w:val="00B23E6B"/>
    <w:rsid w:val="00B240F7"/>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2E9"/>
    <w:rsid w:val="00B447C3"/>
    <w:rsid w:val="00B449C9"/>
    <w:rsid w:val="00B4540B"/>
    <w:rsid w:val="00B454D8"/>
    <w:rsid w:val="00B46047"/>
    <w:rsid w:val="00B4614C"/>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9BA"/>
    <w:rsid w:val="00B92007"/>
    <w:rsid w:val="00B92015"/>
    <w:rsid w:val="00B922D7"/>
    <w:rsid w:val="00B92357"/>
    <w:rsid w:val="00B923B3"/>
    <w:rsid w:val="00B92430"/>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2B"/>
    <w:rsid w:val="00BC4194"/>
    <w:rsid w:val="00BC4326"/>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32C"/>
    <w:rsid w:val="00BF2D13"/>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CE4"/>
    <w:rsid w:val="00C03DBE"/>
    <w:rsid w:val="00C03E94"/>
    <w:rsid w:val="00C04709"/>
    <w:rsid w:val="00C04BCC"/>
    <w:rsid w:val="00C04C74"/>
    <w:rsid w:val="00C05631"/>
    <w:rsid w:val="00C06234"/>
    <w:rsid w:val="00C069B9"/>
    <w:rsid w:val="00C06F5B"/>
    <w:rsid w:val="00C07075"/>
    <w:rsid w:val="00C07250"/>
    <w:rsid w:val="00C07549"/>
    <w:rsid w:val="00C07890"/>
    <w:rsid w:val="00C07E89"/>
    <w:rsid w:val="00C07FC4"/>
    <w:rsid w:val="00C10071"/>
    <w:rsid w:val="00C10343"/>
    <w:rsid w:val="00C10642"/>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A84"/>
    <w:rsid w:val="00C462FE"/>
    <w:rsid w:val="00C4654D"/>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EE"/>
    <w:rsid w:val="00C6411C"/>
    <w:rsid w:val="00C644C8"/>
    <w:rsid w:val="00C64668"/>
    <w:rsid w:val="00C64915"/>
    <w:rsid w:val="00C6495E"/>
    <w:rsid w:val="00C65088"/>
    <w:rsid w:val="00C6525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4EC"/>
    <w:rsid w:val="00C70762"/>
    <w:rsid w:val="00C7082E"/>
    <w:rsid w:val="00C70C85"/>
    <w:rsid w:val="00C718D5"/>
    <w:rsid w:val="00C71E7D"/>
    <w:rsid w:val="00C71F6E"/>
    <w:rsid w:val="00C72188"/>
    <w:rsid w:val="00C72A78"/>
    <w:rsid w:val="00C72E43"/>
    <w:rsid w:val="00C73568"/>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56F"/>
    <w:rsid w:val="00C80BF9"/>
    <w:rsid w:val="00C80D4F"/>
    <w:rsid w:val="00C80EAC"/>
    <w:rsid w:val="00C810A1"/>
    <w:rsid w:val="00C81114"/>
    <w:rsid w:val="00C813BB"/>
    <w:rsid w:val="00C81497"/>
    <w:rsid w:val="00C82D0D"/>
    <w:rsid w:val="00C82D23"/>
    <w:rsid w:val="00C82F6E"/>
    <w:rsid w:val="00C83091"/>
    <w:rsid w:val="00C8341D"/>
    <w:rsid w:val="00C83527"/>
    <w:rsid w:val="00C83582"/>
    <w:rsid w:val="00C84630"/>
    <w:rsid w:val="00C848D9"/>
    <w:rsid w:val="00C85138"/>
    <w:rsid w:val="00C85B90"/>
    <w:rsid w:val="00C85CDD"/>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505E"/>
    <w:rsid w:val="00CA519A"/>
    <w:rsid w:val="00CA52CA"/>
    <w:rsid w:val="00CA5709"/>
    <w:rsid w:val="00CA589B"/>
    <w:rsid w:val="00CA5B34"/>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63D5"/>
    <w:rsid w:val="00CC6887"/>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72A"/>
    <w:rsid w:val="00D24B42"/>
    <w:rsid w:val="00D250E9"/>
    <w:rsid w:val="00D254EE"/>
    <w:rsid w:val="00D257DC"/>
    <w:rsid w:val="00D25B1E"/>
    <w:rsid w:val="00D25C97"/>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92B"/>
    <w:rsid w:val="00D31D9F"/>
    <w:rsid w:val="00D31E5F"/>
    <w:rsid w:val="00D324C3"/>
    <w:rsid w:val="00D3265C"/>
    <w:rsid w:val="00D32B27"/>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37A6C"/>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564"/>
    <w:rsid w:val="00D47C86"/>
    <w:rsid w:val="00D504A1"/>
    <w:rsid w:val="00D504CF"/>
    <w:rsid w:val="00D505CA"/>
    <w:rsid w:val="00D50E4F"/>
    <w:rsid w:val="00D5115F"/>
    <w:rsid w:val="00D513BC"/>
    <w:rsid w:val="00D513F8"/>
    <w:rsid w:val="00D51548"/>
    <w:rsid w:val="00D51D44"/>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ACD"/>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37D"/>
    <w:rsid w:val="00D9156D"/>
    <w:rsid w:val="00D91DB5"/>
    <w:rsid w:val="00D91F91"/>
    <w:rsid w:val="00D926B7"/>
    <w:rsid w:val="00D92F09"/>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78"/>
    <w:rsid w:val="00DE22BB"/>
    <w:rsid w:val="00DE25C9"/>
    <w:rsid w:val="00DE2A5B"/>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789"/>
    <w:rsid w:val="00E17944"/>
    <w:rsid w:val="00E179FD"/>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680"/>
    <w:rsid w:val="00E22B93"/>
    <w:rsid w:val="00E23FF0"/>
    <w:rsid w:val="00E24020"/>
    <w:rsid w:val="00E2416F"/>
    <w:rsid w:val="00E246DB"/>
    <w:rsid w:val="00E24A37"/>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79E"/>
    <w:rsid w:val="00E408DB"/>
    <w:rsid w:val="00E41085"/>
    <w:rsid w:val="00E41333"/>
    <w:rsid w:val="00E414E7"/>
    <w:rsid w:val="00E41ED1"/>
    <w:rsid w:val="00E42308"/>
    <w:rsid w:val="00E423DD"/>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3D6"/>
    <w:rsid w:val="00E6749F"/>
    <w:rsid w:val="00E67AAC"/>
    <w:rsid w:val="00E67EE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1D5"/>
    <w:rsid w:val="00F27473"/>
    <w:rsid w:val="00F27481"/>
    <w:rsid w:val="00F27B14"/>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18B3"/>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08C"/>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R4_Bullet,- Bullets,목록 단락,リスト段落,?? ??,?????,????,Lista1,列出段落,列出段落1,中等深浅网格 1 - 着色 21,列表段落,¥¡¡¡¡ì¬º¥¹¥È¶ÎÂä,ÁÐ³ö¶ÎÂä,列表段落1,—ño’i—Ž,¥ê¥¹¥È¶ÎÂä,1st level - Bullet List Paragraph,Lettre d'introduction,Paragrafo elenco,Normal bullet 2"/>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26"/>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 w:type="character" w:customStyle="1" w:styleId="ListParagraphChar">
    <w:name w:val="List Paragraph Char"/>
    <w:aliases w:val="R4_Bullet Char,- Bullets Char,목록 단락 Char,リスト段落 Char,?? ?? Char,????? Char,???? Char,Lista1 Char,列出段落 Char,列出段落1 Char,中等深浅网格 1 - 着色 21 Char,列表段落 Char,¥¡¡¡¡ì¬º¥¹¥È¶ÎÂä Char,ÁÐ³ö¶ÎÂä Char,列表段落1 Char,—ño’i—Ž Char,¥ê¥¹¥È¶ÎÂä Char"/>
    <w:link w:val="ListParagraph"/>
    <w:uiPriority w:val="34"/>
    <w:qFormat/>
    <w:locked/>
    <w:rsid w:val="00385727"/>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E74A40-62DA-4921-B041-31F1C5671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308</TotalTime>
  <Pages>7</Pages>
  <Words>1982</Words>
  <Characters>11299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13255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23</cp:revision>
  <cp:lastPrinted>2009-04-22T21:01:00Z</cp:lastPrinted>
  <dcterms:created xsi:type="dcterms:W3CDTF">2019-10-25T18:20:00Z</dcterms:created>
  <dcterms:modified xsi:type="dcterms:W3CDTF">2019-11-08T22:21:00Z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